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0"/>
      </w:pPr>
      <w:r>
        <w:drawing>
          <wp:inline distT="0" distB="0" distL="0" distR="0">
            <wp:extent cx="1238250" cy="4000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20"/>
      </w:pPr>
      <w:r>
        <w:rPr>
          <w:rFonts w:ascii="Arial" w:cs="Arial" w:eastAsia="Arial" w:hAnsi="Arial"/>
          <w:caps/>
          <w:color w:val="1B6B4A"/>
          <w:sz w:val="18"/>
          <w:szCs w:val="18"/>
        </w:rPr>
        <w:t xml:space="preserve">B BLOKK · FELHASZNÁLÓK FELÉ</w:t>
      </w:r>
    </w:p>
    <w:p>
      <w:pPr>
        <w:spacing w:after="60"/>
      </w:pPr>
      <w:r>
        <w:rPr>
          <w:rFonts w:ascii="Arial" w:cs="Arial" w:eastAsia="Arial" w:hAnsi="Arial"/>
          <w:b/>
          <w:bCs/>
          <w:color w:val="1A1A2E"/>
          <w:sz w:val="36"/>
          <w:szCs w:val="36"/>
        </w:rPr>
        <w:t xml:space="preserve">In-app hozzájárulási szövegek</w:t>
      </w:r>
    </w:p>
    <w:p>
      <w:pPr>
        <w:spacing w:after="120"/>
      </w:pPr>
      <w:r>
        <w:rPr>
          <w:rFonts w:ascii="Arial" w:cs="Arial" w:eastAsia="Arial" w:hAnsi="Arial"/>
          <w:b w:val="false"/>
          <w:bCs w:val="false"/>
          <w:color w:val="1A1A2E"/>
          <w:sz w:val="28"/>
          <w:szCs w:val="28"/>
        </w:rPr>
        <w:t xml:space="preserve">és consent flow specifikáció</w:t>
      </w:r>
    </w:p>
    <w:p>
      <w:pPr>
        <w:spacing w:after="480"/>
      </w:pPr>
      <w:r>
        <w:rPr>
          <w:rFonts w:ascii="Arial" w:cs="Arial" w:eastAsia="Arial" w:hAnsi="Arial"/>
          <w:color w:val="666666"/>
          <w:sz w:val="20"/>
          <w:szCs w:val="20"/>
        </w:rPr>
        <w:t xml:space="preserve">HJ-001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6838"/>
      </w:tblGrid>
      <w:tr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Adatkezelő</w:t>
            </w:r>
          </w:p>
        </w:tc>
        <w:tc>
          <w:tcPr>
            <w:tcW w:type="dxa" w:w="68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Mózer Ferenc (egyéni vállalkozó)</w:t>
            </w:r>
          </w:p>
        </w:tc>
      </w:tr>
      <w:tr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Székhely</w:t>
            </w:r>
          </w:p>
        </w:tc>
        <w:tc>
          <w:tcPr>
            <w:tcW w:type="dxa" w:w="68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6044 Kecskemét, Hetény-Belsőnyír 268/2.</w:t>
            </w:r>
          </w:p>
        </w:tc>
      </w:tr>
      <w:tr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Adószám</w:t>
            </w:r>
          </w:p>
        </w:tc>
        <w:tc>
          <w:tcPr>
            <w:tcW w:type="dxa" w:w="68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41905517-1-23</w:t>
            </w:r>
          </w:p>
        </w:tc>
      </w:tr>
      <w:tr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Adatvédelmi kapcsolat</w:t>
            </w:r>
          </w:p>
        </w:tc>
        <w:tc>
          <w:tcPr>
            <w:tcW w:type="dxa" w:w="68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privacy@cashleticsapp.com</w:t>
            </w:r>
          </w:p>
        </w:tc>
      </w:tr>
      <w:tr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Hatálybalépés</w:t>
            </w:r>
          </w:p>
        </w:tc>
        <w:tc>
          <w:tcPr>
            <w:tcW w:type="dxa" w:w="68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/>
              <w:t>2026. augusztus 1.</w:t>
            </w:r>
          </w:p>
        </w:tc>
      </w:tr>
      <w:tr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Készítette</w:t>
            </w:r>
          </w:p>
        </w:tc>
        <w:tc>
          <w:tcPr>
            <w:tcW w:type="dxa" w:w="68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Dr. Crespo Zsuzsanna | zsuzsanna@crespo.hu</w:t>
            </w:r>
          </w:p>
        </w:tc>
      </w:tr>
      <w:tr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Verzió</w:t>
            </w:r>
          </w:p>
        </w:tc>
        <w:tc>
          <w:tcPr>
            <w:tcW w:type="dxa" w:w="68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/>
              <w:t>v1.8</w:t>
            </w:r>
          </w:p>
        </w:tc>
      </w:tr>
      <w:tr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Célközönség</w:t>
            </w:r>
          </w:p>
        </w:tc>
        <w:tc>
          <w:tcPr>
            <w:tcW w:type="dxa" w:w="68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Fejlesztő (implementáció) + GDPR audit</w:t>
            </w:r>
          </w:p>
        </w:tc>
      </w:tr>
    </w:tbl>
    <w:p>
      <w:pPr>
        <w:spacing w:after="400"/>
      </w:pPr>
      <w:r>
        <w:t xml:space="preserve"/>
      </w:r>
    </w:p>
    <w:p>
      <w:pPr>
        <w:tabs>
          <w:tab w:val="right" w:pos="9638"/>
        </w:tabs>
      </w:pPr>
      <w:r>
        <w:rPr/>
        <w:t>cashleticsapp.com/legal.php  ·  Publikus hozzájárulási tájékoztató</w:t>
      </w:r>
      <w:r>
        <w:tab/>
        <w:t>GDPR-kompatibilis  ✔</w:t>
      </w:r>
    </w:p>
    <w:p>
      <w:pPr>
        <w:pageBreakBefore/>
      </w:pPr>
      <w:r>
        <w:rPr>
          <w:rFonts w:ascii="Arial" w:cs="Arial" w:eastAsia="Arial" w:hAnsi="Arial"/>
        </w:rPr>
        <w:t xml:space="preserve"/>
      </w:r>
    </w:p>
    <w:p>
      <w:pPr>
        <w:shd w:fill="1B6B4A" w:val="clear"/>
        <w:spacing w:after="120" w:before="240"/>
        <w:ind w:left="120" w:right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1. A dokumentum célja és hatálya</w:t>
      </w:r>
    </w:p>
    <w:p>
      <w:pPr>
        <w:spacing w:after="80"/>
      </w:pPr>
      <w:r>
        <w:t xml:space="preserve"/>
      </w:r>
    </w:p>
    <w:p>
      <w:pPr>
        <w:spacing w:after="100"/>
        <w:jc w:val="both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Ez a dokumentum a Cashletics mobilalkalmazás teljes hozzájárulás-kezelési (consent) folyamatát írja le. Tartalmazza: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b w:val="false"/>
          <w:bCs w:val="false"/>
          <w:color w:val="1A1A2E"/>
          <w:sz w:val="22"/>
          <w:szCs w:val="22"/>
        </w:rPr>
        <w:t xml:space="preserve">a felhasználónak megjelenő pontos UI-szövegeket (magyar nyelven, implementálható formában),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b w:val="false"/>
          <w:bCs w:val="false"/>
          <w:color w:val="1A1A2E"/>
          <w:sz w:val="22"/>
          <w:szCs w:val="22"/>
        </w:rPr>
        <w:t xml:space="preserve">a consent flow 5 lépéses sorrendjét és az egyes lépések logikai feltételeit,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b w:val="false"/>
          <w:bCs w:val="false"/>
          <w:color w:val="1A1A2E"/>
          <w:sz w:val="22"/>
          <w:szCs w:val="22"/>
        </w:rPr>
        <w:t xml:space="preserve">a Firestore-ban tárolandó consent log adatszerkezetét (GDPR 7(1) bizonyíthatóság),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b w:val="false"/>
          <w:bCs w:val="false"/>
          <w:color w:val="1A1A2E"/>
          <w:sz w:val="22"/>
          <w:szCs w:val="22"/>
        </w:rPr>
        <w:t xml:space="preserve">a visszavonási útvonalakat és a Settings menü consent-kezelési struktúráját,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b w:val="false"/>
          <w:bCs w:val="false"/>
          <w:color w:val="1A1A2E"/>
          <w:sz w:val="22"/>
          <w:szCs w:val="22"/>
        </w:rPr>
        <w:t xml:space="preserve">Play Store review-ready megfelelési megjegyzéseket.</w:t>
      </w:r>
    </w:p>
    <w:p>
      <w:pPr>
        <w:spacing w:after="80"/>
      </w:pPr>
      <w: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single" w:color="C8E6DA" w:sz="4"/>
              <w:left w:val="thick" w:color="1B6B4A" w:sz="12"/>
              <w:bottom w:val="single" w:color="C8E6DA" w:sz="4"/>
              <w:right w:val="single" w:color="C8E6DA" w:sz="4"/>
            </w:tcBorders>
            <w:shd w:fill="F7FBF9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ℹ  Fejlesztői útmutató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 dokumentumban szereplő UI-szövegek másolható, implementálható specifikációk.</w:t>
            </w:r>
          </w:p>
          <w:p>
            <w:pPr>
              <w:spacing w:after="60"/>
              <w:ind w:left="120" w:right="120"/>
            </w:pPr>
            <w:r>
              <w:rPr/>
              <w:t>A kampány-, incidens-, kérelem- és iOS-specifikus mezők az adott esemény vagy funkció indulásakor véglegesítendők.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Minden consent eseményt a 7. fejezetben leírt séma szerint kell Firestore-ban naplózni.</w:t>
            </w:r>
          </w:p>
        </w:tc>
      </w:tr>
    </w:tbl>
    <w:p>
      <w:pPr>
        <w:spacing w:after="160"/>
      </w:pPr>
      <w:r>
        <w:t xml:space="preserve"/>
      </w:r>
    </w:p>
    <w:p>
      <w:pPr>
        <w:shd w:fill="1B6B4A" w:val="clear"/>
        <w:spacing w:after="120" w:before="240"/>
        <w:ind w:left="120" w:right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2. Consent flow architektúra — áttekintés</w:t>
      </w:r>
    </w:p>
    <w:p>
      <w:pPr>
        <w:spacing w:after="80"/>
      </w:pPr>
      <w:r>
        <w:t xml:space="preserve"/>
      </w:r>
    </w:p>
    <w:p>
      <w:pPr>
        <w:spacing w:after="100"/>
        <w:jc w:val="both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A Cashletics app 5 lépéses consent flow-t alkalmaz. A lépések sorrendje kötött — az opcionális lépéseket a felhasználó kihagyhatja, de a kötelező (blokkoló) lépések nélkül nem folytatható a regisztráció.</w:t>
      </w:r>
    </w:p>
    <w:p>
      <w:pPr>
        <w:spacing w:after="80"/>
      </w:pPr>
      <w: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4438"/>
        <w:gridCol w:w="2200"/>
        <w:gridCol w:w="2400"/>
      </w:tblGrid>
      <w:tr>
        <w:tc>
          <w:tcPr>
            <w:tcW w:type="dxa" w:w="6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#</w:t>
            </w:r>
          </w:p>
        </w:tc>
        <w:tc>
          <w:tcPr>
            <w:tcW w:type="dxa" w:w="4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Consent típusa</w:t>
            </w:r>
          </w:p>
        </w:tc>
        <w:tc>
          <w:tcPr>
            <w:tcW w:type="dxa" w:w="2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Kötelező?</w:t>
            </w:r>
          </w:p>
        </w:tc>
        <w:tc>
          <w:tcPr>
            <w:tcW w:type="dxa" w:w="24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Dokumentum alap</w:t>
            </w:r>
          </w:p>
        </w:tc>
      </w:tr>
      <w:tr>
        <w:tc>
          <w:tcPr>
            <w:tcW w:type="dxa" w:w="6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1</w:t>
            </w:r>
          </w:p>
        </w:tc>
        <w:tc>
          <w:tcPr>
            <w:tcW w:type="dxa" w:w="4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ÁSZF + Adatkezelési Tájékoztató elfogadása</w:t>
            </w:r>
          </w:p>
        </w:tc>
        <w:tc>
          <w:tcPr>
            <w:tcW w:type="dxa" w:w="2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⛔ KÖTELEZŐ — blokkoló</w:t>
            </w:r>
          </w:p>
        </w:tc>
        <w:tc>
          <w:tcPr>
            <w:tcW w:type="dxa" w:w="24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ÁSZF-001, AT-001</w:t>
            </w:r>
          </w:p>
        </w:tc>
      </w:tr>
      <w:tr>
        <w:tc>
          <w:tcPr>
            <w:tcW w:type="dxa" w:w="6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2</w:t>
            </w:r>
          </w:p>
        </w:tc>
        <w:tc>
          <w:tcPr>
            <w:tcW w:type="dxa" w:w="4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t>Health Connect lépésszám-engedély (Android)</w:t>
              <w:br/>
            </w:r>
            <w:r>
              <w:rPr/>
              <w:t>HealthKit lépésszám-engedély (iOS — jelenleg nem aktív)</w:t>
            </w:r>
          </w:p>
        </w:tc>
        <w:tc>
          <w:tcPr>
            <w:tcW w:type="dxa" w:w="2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✔ Opcionális — ajánlott</w:t>
            </w:r>
          </w:p>
        </w:tc>
        <w:tc>
          <w:tcPr>
            <w:tcW w:type="dxa" w:w="24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HE-001</w:t>
            </w:r>
          </w:p>
        </w:tc>
      </w:tr>
      <w:tr>
        <w:tc>
          <w:tcPr>
            <w:tcW w:type="dxa" w:w="6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3</w:t>
            </w:r>
          </w:p>
        </w:tc>
        <w:tc>
          <w:tcPr>
            <w:tcW w:type="dxa" w:w="4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Banki értesítés olvasási engedély</w:t>
            </w:r>
          </w:p>
        </w:tc>
        <w:tc>
          <w:tcPr>
            <w:tcW w:type="dxa" w:w="2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✔ Opcionális</w:t>
            </w:r>
          </w:p>
        </w:tc>
        <w:tc>
          <w:tcPr>
            <w:tcW w:type="dxa" w:w="24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BH-001</w:t>
            </w:r>
          </w:p>
        </w:tc>
      </w:tr>
      <w:tr>
        <w:tc>
          <w:tcPr>
            <w:tcW w:type="dxa" w:w="6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4</w:t>
            </w:r>
          </w:p>
        </w:tc>
        <w:tc>
          <w:tcPr>
            <w:tcW w:type="dxa" w:w="4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Marketing push értesítés (FCM)</w:t>
            </w:r>
          </w:p>
        </w:tc>
        <w:tc>
          <w:tcPr>
            <w:tcW w:type="dxa" w:w="2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✔ Opcionális — jövőbeli [FCM jelenleg nem aktív]</w:t>
            </w:r>
          </w:p>
        </w:tc>
        <w:tc>
          <w:tcPr>
            <w:tcW w:type="dxa" w:w="24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AT-001 §6</w:t>
            </w:r>
          </w:p>
        </w:tc>
      </w:tr>
      <w:tr>
        <w:tc>
          <w:tcPr>
            <w:tcW w:type="dxa" w:w="6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5</w:t>
            </w:r>
          </w:p>
        </w:tc>
        <w:tc>
          <w:tcPr>
            <w:tcW w:type="dxa" w:w="44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Analytics és reklám tracking (AdMob)</w:t>
            </w:r>
          </w:p>
        </w:tc>
        <w:tc>
          <w:tcPr>
            <w:tcW w:type="dxa" w:w="2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✔ Opcionális — csak Free felhasználóknak releváns</w:t>
            </w:r>
          </w:p>
        </w:tc>
        <w:tc>
          <w:tcPr>
            <w:tcW w:type="dxa" w:w="24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CK-001</w:t>
            </w:r>
          </w:p>
        </w:tc>
      </w:tr>
    </w:tbl>
    <w:p>
      <w:pPr>
        <w:spacing w:after="80"/>
      </w:pPr>
      <w: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single" w:color="D4A017" w:sz="4"/>
              <w:left w:val="thick" w:color="D4A017" w:sz="12"/>
              <w:bottom w:val="single" w:color="D4A017" w:sz="4"/>
              <w:right w:val="single" w:color="D4A017" w:sz="4"/>
            </w:tcBorders>
            <w:shd w:fill="FEF6E4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⚠  Fontos: az opcionális lépések NEM feltételei az app használatának.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Ha a felhasználó megtagadja a 2–5. lépést, az app alapfunkciói (pénzügyi nyilvántartás,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gamifikáció, célok) teljes mértékben elérhetők maradnak.</w:t>
            </w:r>
          </w:p>
        </w:tc>
      </w:tr>
    </w:tbl>
    <w:p>
      <w:pPr>
        <w:spacing w:after="160"/>
      </w:pPr>
      <w:r>
        <w:t xml:space="preserve"/>
      </w:r>
    </w:p>
    <w:p>
      <w:pPr>
        <w:shd w:fill="1B6B4A" w:val="clear"/>
        <w:spacing w:after="120" w:before="240"/>
        <w:ind w:left="120" w:right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3. Consent flow lépésdiagram</w:t>
      </w:r>
    </w:p>
    <w:p>
      <w:pPr>
        <w:spacing w:after="80"/>
      </w:pPr>
      <w:r>
        <w:t xml:space="preserve"/>
      </w:r>
    </w:p>
    <w:p>
      <w:pPr>
        <w:spacing w:after="100"/>
        <w:jc w:val="both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Az alábbi diagram a regisztrációs folyamat logikai menetét mutatja. Minden lépésnél szerepel a döntési pont és a következő állapot.</w:t>
      </w:r>
    </w:p>
    <w:p>
      <w:pPr>
        <w:spacing w:after="80"/>
      </w:pPr>
      <w: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single" w:color="1B6B4A" w:sz="6"/>
              <w:left w:val="single" w:color="1B6B4A" w:sz="6"/>
              <w:bottom w:val="single" w:color="1B6B4A" w:sz="6"/>
              <w:right w:val="single" w:color="1B6B4A" w:sz="6"/>
            </w:tcBorders>
            <w:shd w:fill="F7FBF9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spacing w:after="60"/>
              <w:jc w:val="center"/>
            </w:pPr>
            <w:r>
              <w:rPr>
                <w:rFonts w:ascii="Arial" w:cs="Arial" w:eastAsia="Arial" w:hAnsi="Arial"/>
                <w:b/>
                <w:bCs/>
                <w:color w:val="1B6B4A"/>
                <w:sz w:val="20"/>
                <w:szCs w:val="20"/>
              </w:rPr>
              <w:t xml:space="preserve">REGISZTRÁCIÓ INDÍTÁSA</w:t>
            </w:r>
          </w:p>
          <w:p>
            <w:pPr>
              <w:spacing w:after="60"/>
              <w:jc w:val="center"/>
            </w:pPr>
            <w:r>
              <w:rPr>
                <w:rFonts w:ascii="Arial" w:cs="Arial" w:eastAsia="Arial" w:hAnsi="Arial"/>
                <w:color w:val="1B6B4A"/>
                <w:sz w:val="24"/>
                <w:szCs w:val="24"/>
              </w:rPr>
              <w:t xml:space="preserve">↓</w:t>
            </w:r>
          </w:p>
          <w:p>
            <w:pPr>
              <w:spacing w:after="40"/>
            </w:pPr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[ 1. lépés ] ÁSZF + AT elfogadás → KÖTELEZŐ</w:t>
            </w: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   ├ Elfogadja → tovább a 2. lépésre</w:t>
            </w:r>
          </w:p>
          <w:p>
            <w:pPr>
              <w:spacing w:after="8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   └ Elutasítja → regisztráció megszakad, app nem használható</w:t>
            </w:r>
          </w:p>
          <w:p>
            <w:pPr>
              <w:spacing w:after="60"/>
              <w:jc w:val="center"/>
            </w:pPr>
            <w:r>
              <w:rPr>
                <w:rFonts w:ascii="Arial" w:cs="Arial" w:eastAsia="Arial" w:hAnsi="Arial"/>
                <w:color w:val="1B6B4A"/>
                <w:sz w:val="24"/>
                <w:szCs w:val="24"/>
              </w:rPr>
              <w:t xml:space="preserve">↓</w:t>
            </w:r>
          </w:p>
          <w:p>
            <w:pPr>
              <w:spacing w:after="40"/>
            </w:pPr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[ 2. lépés ] Health Connect / lépésszám → OPCIONÁLIS</w:t>
            </w: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   ├ Engedélyezi → lépésszám-alapú XP, kihívások elérhetők</w:t>
            </w:r>
          </w:p>
          <w:p>
            <w:pPr>
              <w:spacing w:after="8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   └ Kihagyja → lépésszám-funkciók nem elérhetők (később újra kérhető)</w:t>
            </w:r>
          </w:p>
          <w:p>
            <w:pPr>
              <w:spacing w:after="60"/>
              <w:jc w:val="center"/>
            </w:pPr>
            <w:r>
              <w:rPr>
                <w:rFonts w:ascii="Arial" w:cs="Arial" w:eastAsia="Arial" w:hAnsi="Arial"/>
                <w:color w:val="1B6B4A"/>
                <w:sz w:val="24"/>
                <w:szCs w:val="24"/>
              </w:rPr>
              <w:t xml:space="preserve">↓</w:t>
            </w:r>
          </w:p>
          <w:p>
            <w:pPr>
              <w:spacing w:after="40"/>
            </w:pPr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[ 3. lépés ] Banki értesítés olvasás → OPCIONÁLIS</w:t>
            </w: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   ├ Engedélyezi → automatikus tranzakcióimport elérhető</w:t>
            </w:r>
          </w:p>
          <w:p>
            <w:pPr>
              <w:spacing w:after="8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   └ Kihagyja → manuális bevitel szükséges (később újra kérhető)</w:t>
            </w:r>
          </w:p>
          <w:p>
            <w:pPr>
              <w:spacing w:after="60"/>
              <w:jc w:val="center"/>
            </w:pPr>
            <w:r>
              <w:rPr>
                <w:rFonts w:ascii="Arial" w:cs="Arial" w:eastAsia="Arial" w:hAnsi="Arial"/>
                <w:color w:val="1B6B4A"/>
                <w:sz w:val="24"/>
                <w:szCs w:val="24"/>
              </w:rPr>
              <w:t xml:space="preserve">↓</w:t>
            </w:r>
          </w:p>
          <w:p>
            <w:pPr>
              <w:spacing w:after="40"/>
            </w:pPr>
            <w:r>
              <w:rPr>
                <w:rFonts w:ascii="Arial" w:cs="Arial" w:eastAsia="Arial" w:hAnsi="Arial"/>
                <w:b/>
                <w:bCs/>
                <w:color w:val="666666"/>
                <w:sz w:val="20"/>
                <w:szCs w:val="20"/>
              </w:rPr>
              <w:t xml:space="preserve">[ 4. lépés ] Marketing push értesítés (FCM) → OPCIONÁLIS — jövőbeli</w:t>
            </w: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20"/>
                <w:szCs w:val="20"/>
              </w:rPr>
              <w:t xml:space="preserve">   ├ Engedélyezi → kihívás- és jutalom-értesítések fogadása</w:t>
            </w:r>
          </w:p>
          <w:p>
            <w:pPr>
              <w:spacing w:after="80"/>
            </w:pPr>
            <w:r>
              <w:rPr>
                <w:rFonts w:ascii="Arial" w:cs="Arial" w:eastAsia="Arial" w:hAnsi="Arial"/>
                <w:color w:val="666666"/>
                <w:sz w:val="20"/>
                <w:szCs w:val="20"/>
              </w:rPr>
              <w:t xml:space="preserve">   └ Kihagyja → értesítések kikapcsolva (Beállításokban módosítható)</w:t>
            </w:r>
          </w:p>
          <w:p>
            <w:pPr>
              <w:spacing w:after="60"/>
              <w:jc w:val="center"/>
            </w:pPr>
            <w:r>
              <w:rPr>
                <w:rFonts w:ascii="Arial" w:cs="Arial" w:eastAsia="Arial" w:hAnsi="Arial"/>
                <w:color w:val="1B6B4A"/>
                <w:sz w:val="24"/>
                <w:szCs w:val="24"/>
              </w:rPr>
              <w:t xml:space="preserve">↓</w:t>
            </w:r>
          </w:p>
          <w:p>
            <w:pPr>
              <w:spacing w:after="40"/>
            </w:pPr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[ 5. lépés ] Analytics / AdMob tracking → OPCIONÁLIS (csak Free)</w:t>
            </w: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   ├ Elfogadja → személyre szabott hirdetések, analitika</w:t>
            </w: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   └ Elutasítja → nem személyre szabott hirdetések, analitika korlátozott</w:t>
            </w:r>
          </w:p>
          <w:p>
            <w:pPr>
              <w:spacing w:after="8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   └ PRO felhasználó → ez a lépés kihagyható (nincs reklám)</w:t>
            </w:r>
          </w:p>
          <w:p>
            <w:pPr>
              <w:spacing w:after="60"/>
              <w:jc w:val="center"/>
            </w:pPr>
            <w:r>
              <w:rPr>
                <w:rFonts w:ascii="Arial" w:cs="Arial" w:eastAsia="Arial" w:hAnsi="Arial"/>
                <w:color w:val="1B6B4A"/>
                <w:sz w:val="24"/>
                <w:szCs w:val="24"/>
              </w:rPr>
              <w:t xml:space="preserve">↓</w:t>
            </w:r>
          </w:p>
          <w:p>
            <w:pPr>
              <w:spacing w:after="60"/>
              <w:jc w:val="center"/>
            </w:pPr>
            <w:r>
              <w:rPr>
                <w:rFonts w:ascii="Arial" w:cs="Arial" w:eastAsia="Arial" w:hAnsi="Arial"/>
                <w:b/>
                <w:bCs/>
                <w:color w:val="1B6B4A"/>
                <w:sz w:val="20"/>
                <w:szCs w:val="20"/>
              </w:rPr>
              <w:t xml:space="preserve">FŐKÉPERNYŐ — az app teljes mértékben használható</w:t>
            </w:r>
          </w:p>
        </w:tc>
      </w:tr>
    </w:tbl>
    <w:p>
      <w:pPr>
        <w:spacing w:after="160"/>
      </w:pPr>
      <w:r>
        <w:t xml:space="preserve"/>
      </w:r>
    </w:p>
    <w:p>
      <w:pPr>
        <w:shd w:fill="1B6B4A" w:val="clear"/>
        <w:spacing w:after="120" w:before="240"/>
        <w:ind w:left="120" w:right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4. 1. lépés — ÁSZF és Adatkezelési Tájékoztató elfogadása</w:t>
      </w:r>
    </w:p>
    <w:p>
      <w:pPr>
        <w:spacing w:after="80"/>
      </w:pPr>
      <w:r>
        <w:t xml:space="preserve"/>
      </w:r>
    </w:p>
    <w:p>
      <w:pPr>
        <w:spacing w:after="80" w:before="200"/>
      </w:pPr>
      <w:r>
        <w:rPr>
          <w:rFonts w:ascii="Arial" w:cs="Arial" w:eastAsia="Arial" w:hAnsi="Arial"/>
          <w:b/>
          <w:bCs/>
          <w:color w:val="1B6B4A"/>
          <w:sz w:val="22"/>
          <w:szCs w:val="22"/>
        </w:rPr>
        <w:t xml:space="preserve">4.1 Mikor jelenik meg</w:t>
      </w:r>
    </w:p>
    <w:p>
      <w:pPr>
        <w:spacing w:after="100"/>
        <w:jc w:val="both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Regisztrációkor, az e-mail/jelszó megadása után, a fiók létrehozása előtt. Blokkoló: a fiók csak az elfogadás után jön létre.</w:t>
      </w:r>
    </w:p>
    <w:p>
      <w:pPr>
        <w:spacing w:after="80"/>
      </w:pPr>
      <w:r>
        <w:t xml:space="preserve"/>
      </w:r>
    </w:p>
    <w:p>
      <w:pPr>
        <w:spacing w:after="80" w:before="200"/>
      </w:pPr>
      <w:r>
        <w:rPr>
          <w:rFonts w:ascii="Arial" w:cs="Arial" w:eastAsia="Arial" w:hAnsi="Arial"/>
          <w:b/>
          <w:bCs/>
          <w:color w:val="1B6B4A"/>
          <w:sz w:val="22"/>
          <w:szCs w:val="22"/>
        </w:rPr>
        <w:t xml:space="preserve">4.2 UI-szöveg — dialog/modal</w:t>
      </w:r>
    </w:p>
    <w:p>
      <w:pPr>
        <w:spacing w:after="80"/>
      </w:pPr>
      <w: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single" w:color="1B6B4A" w:sz="6"/>
              <w:left w:val="single" w:color="1B6B4A" w:sz="6"/>
              <w:bottom w:val="single" w:color="1B6B4A" w:sz="6"/>
              <w:right w:val="single" w:color="1B6B4A" w:sz="6"/>
            </w:tcBorders>
            <w:shd w:fill="F0F7F4" w:val="clear"/>
            <w:tcMar>
              <w:top w:type="dxa" w:w="140"/>
              <w:left w:type="dxa" w:w="180"/>
              <w:bottom w:type="dxa" w:w="140"/>
              <w:right w:type="dxa" w:w="180"/>
            </w:tcMar>
          </w:tcPr>
          <w:p>
            <w:pPr>
              <w:spacing w:after="80"/>
              <w:ind w:left="120" w:right="120"/>
            </w:pPr>
            <w:r>
              <w:rPr>
                <w:rFonts w:ascii="Arial" w:cs="Arial" w:eastAsia="Arial" w:hAnsi="Arial"/>
                <w:b/>
                <w:bCs/>
                <w:color w:val="1B6B4A"/>
                <w:sz w:val="20"/>
                <w:szCs w:val="20"/>
              </w:rPr>
              <w:t xml:space="preserve">[ KÉPERNYŐ: Regisztráció — 3/3. lépés ]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C8E6DA"/>
                <w:sz w:val="16"/>
                <w:szCs w:val="16"/>
              </w:rPr>
              <w:t xml:space="preserve">────────────────────────────────────────────────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/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Feltételek elfogadása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/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 Cashletics használatához el kell fogadnod az alábbi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dokumentumokat. Kérjük, olvasd el őket gondosan.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/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[ ☐ ] Elolvastam és elfogadom az Általános Szerződési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         Feltételeket és az Adatkezelési Tájékoztatót.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/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   → Általános Szerződési Feltételek [link]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   → Adatkezelési Tájékoztató [link]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/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────────────────────────────────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/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[ Fiók létrehozása ]   — aktív csak ha pipa be van jelölve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/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[ Mégsem ]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80" w:before="200"/>
      </w:pPr>
      <w:r>
        <w:rPr>
          <w:rFonts w:ascii="Arial" w:cs="Arial" w:eastAsia="Arial" w:hAnsi="Arial"/>
          <w:b/>
          <w:bCs/>
          <w:color w:val="1B6B4A"/>
          <w:sz w:val="22"/>
          <w:szCs w:val="22"/>
        </w:rPr>
        <w:t xml:space="preserve">4.3 Implementációs megjegyzések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b w:val="false"/>
          <w:bCs w:val="false"/>
          <w:color w:val="1A1A2E"/>
          <w:sz w:val="22"/>
          <w:szCs w:val="22"/>
        </w:rPr>
        <w:t xml:space="preserve">A checkbox alapállapota: üres (nem előre bepipált — GDPR 7. cikk: nem hallgatólagos hozzájárulás).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b w:val="false"/>
          <w:bCs w:val="false"/>
          <w:color w:val="1A1A2E"/>
          <w:sz w:val="22"/>
          <w:szCs w:val="22"/>
        </w:rPr>
        <w:t xml:space="preserve">A „Fiók létrehozása" gomb disabled mindaddig, amíg a checkbox nincs bepipálva.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b w:val="false"/>
          <w:bCs w:val="false"/>
          <w:color w:val="1A1A2E"/>
          <w:sz w:val="22"/>
          <w:szCs w:val="22"/>
        </w:rPr>
        <w:t xml:space="preserve">Az ÁSZF és AT linkek az app-on belül megnyíló WebView-ban töltik be a cashleticsapp.com/legal.php oldalt.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b w:val="false"/>
          <w:bCs w:val="false"/>
          <w:color w:val="1A1A2E"/>
          <w:sz w:val="22"/>
          <w:szCs w:val="22"/>
        </w:rPr>
        <w:t xml:space="preserve">Consent log bejegyzés: lásd 7. fejezet — consent_type: "terms_and_privacy".</w:t>
      </w:r>
    </w:p>
    <w:p>
      <w:pPr>
        <w:spacing w:after="160"/>
      </w:pPr>
      <w:r>
        <w:t xml:space="preserve"/>
      </w:r>
    </w:p>
    <w:p>
      <w:pPr>
        <w:shd w:fill="1B6B4A" w:val="clear"/>
        <w:spacing w:after="120" w:before="240"/>
        <w:ind w:left="120" w:right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5. 2. lépés — Health Connect / lépésszám-engedély</w:t>
      </w:r>
    </w:p>
    <w:p>
      <w:pPr>
        <w:spacing w:after="80"/>
      </w:pPr>
      <w:r>
        <w:t xml:space="preserve"/>
      </w:r>
    </w:p>
    <w:p>
      <w:pPr>
        <w:spacing w:after="80" w:before="200"/>
      </w:pPr>
      <w:r>
        <w:rPr>
          <w:rFonts w:ascii="Arial" w:cs="Arial" w:eastAsia="Arial" w:hAnsi="Arial"/>
          <w:b/>
          <w:bCs/>
          <w:color w:val="1B6B4A"/>
          <w:sz w:val="22"/>
          <w:szCs w:val="22"/>
        </w:rPr>
        <w:t xml:space="preserve">5.1 Mikor jelenik meg</w:t>
      </w:r>
    </w:p>
    <w:p>
      <w:pPr>
        <w:spacing w:after="100"/>
        <w:jc w:val="both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Közvetlenül a sikeres regisztráció után, az első bejelentkezéskor. Opcionális — a „Kihagyom" gombbal átugorható. Később újra kérhető: Beállítások → Egészségügyi adatok.</w:t>
      </w:r>
    </w:p>
    <w:p>
      <w:pPr>
        <w:spacing w:after="80"/>
      </w:pPr>
      <w:r>
        <w:t xml:space="preserve"/>
      </w:r>
    </w:p>
    <w:p>
      <w:pPr>
        <w:spacing w:after="80" w:before="200"/>
      </w:pPr>
      <w:r>
        <w:rPr>
          <w:rFonts w:ascii="Arial" w:cs="Arial" w:eastAsia="Arial" w:hAnsi="Arial"/>
          <w:b/>
          <w:bCs/>
          <w:color w:val="1B6B4A"/>
          <w:sz w:val="22"/>
          <w:szCs w:val="22"/>
        </w:rPr>
        <w:t xml:space="preserve">5.2 Előzetes tájékoztató dialog (kötelező Play Store policy alapján)</w:t>
      </w:r>
    </w:p>
    <w:p>
      <w:pPr>
        <w:spacing w:after="100"/>
        <w:jc w:val="both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GDPR 9(2)(a) alapján: az egészségügyi adat (lépésszám) kezeléséhez explicit, előzetes tájékoztatás szükséges a rendszer-jogosultság kérése ELŐTT.</w:t>
      </w:r>
    </w:p>
    <w:p>
      <w:pPr>
        <w:spacing w:after="80"/>
      </w:pPr>
      <w: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single" w:color="1B6B4A" w:sz="6"/>
              <w:left w:val="single" w:color="1B6B4A" w:sz="6"/>
              <w:bottom w:val="single" w:color="1B6B4A" w:sz="6"/>
              <w:right w:val="single" w:color="1B6B4A" w:sz="6"/>
            </w:tcBorders>
            <w:shd w:fill="F0F7F4" w:val="clear"/>
            <w:tcMar>
              <w:top w:type="dxa" w:w="140"/>
              <w:left w:type="dxa" w:w="180"/>
              <w:bottom w:type="dxa" w:w="140"/>
              <w:right w:type="dxa" w:w="180"/>
            </w:tcMar>
          </w:tcPr>
          <w:p>
            <w:pPr>
              <w:spacing w:after="80"/>
              <w:ind w:left="120" w:right="120"/>
            </w:pPr>
            <w:r>
              <w:rPr>
                <w:rFonts w:ascii="Arial" w:cs="Arial" w:eastAsia="Arial" w:hAnsi="Arial"/>
                <w:b/>
                <w:bCs/>
                <w:color w:val="1B6B4A"/>
                <w:sz w:val="20"/>
                <w:szCs w:val="20"/>
              </w:rPr>
              <w:t xml:space="preserve">[ KÉPERNYŐ: Lépésszám-tracking beállítása ]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C8E6DA"/>
                <w:sz w:val="16"/>
                <w:szCs w:val="16"/>
              </w:rPr>
              <w:t xml:space="preserve">────────────────────────────────────────────────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/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Lépésszám-alapú jutalmazás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/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 Cashletics jutalmakat adhat a napi lépésszámod alapján.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Ehhez hozzáférést kérünk a Health Connect alkalmazáshoz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(Android), amely az eszközöd egészségügyi adatait kezeli.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/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Mit olvasunk: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  • Napi lépésszám (csak az aznapi érték)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/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Mit NEM olvasunk: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  • Szívritmus, alvásadatok, testsúly vagy egyéb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    egészségügyi mutató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/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Az adatokat kizárólag XP-pont jóváíráshoz és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kihívások kiértékeléséhez használjuk.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Az engedélyt bármikor visszavonhatod.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/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→ Adatkezelési Tájékoztató — Egészségügyi adat fejezet [link]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/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────────────────────────────────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/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[ Health Connect megnyitása ]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/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[ Kihagyom — lépésszám nélkül folytatom ]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80" w:before="200"/>
      </w:pPr>
      <w:r>
        <w:rPr>
          <w:rFonts w:ascii="Arial" w:cs="Arial" w:eastAsia="Arial" w:hAnsi="Arial"/>
          <w:b/>
          <w:bCs/>
          <w:color w:val="1B6B4A"/>
          <w:sz w:val="22"/>
          <w:szCs w:val="22"/>
        </w:rPr>
        <w:t xml:space="preserve">5.3 Health Connect rendszer-dialog</w:t>
      </w:r>
    </w:p>
    <w:p>
      <w:pPr>
        <w:spacing w:after="100"/>
        <w:jc w:val="both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A „Health Connect megnyitása" gomb megnyomása után az Android operációs rendszer saját Health Connect jogosultság-kérő felülete jelenik meg. Az app a rendszer-dialog eredményét naplózza.</w:t>
      </w:r>
    </w:p>
    <w:p>
      <w:pPr>
        <w:spacing w:after="80"/>
      </w:pPr>
      <w:r>
        <w:t xml:space="preserve"/>
      </w:r>
    </w:p>
    <w:p>
      <w:pPr>
        <w:spacing w:after="80" w:before="200"/>
      </w:pPr>
      <w:r>
        <w:rPr>
          <w:rFonts w:ascii="Arial" w:cs="Arial" w:eastAsia="Arial" w:hAnsi="Arial"/>
          <w:b/>
          <w:bCs/>
          <w:color w:val="1B6B4A"/>
          <w:sz w:val="22"/>
          <w:szCs w:val="22"/>
        </w:rPr>
        <w:t xml:space="preserve">5.4 iOS — HealthKit (jövőbeli)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single" w:color="D4A017" w:sz="4"/>
              <w:left w:val="thick" w:color="D4A017" w:sz="12"/>
              <w:bottom w:val="single" w:color="D4A017" w:sz="4"/>
              <w:right w:val="single" w:color="D4A017" w:sz="4"/>
            </w:tcBorders>
            <w:shd w:fill="FEF6E4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60"/>
              <w:ind w:left="120" w:right="120"/>
            </w:pPr>
            <w:r>
              <w:rPr/>
              <w:t>iOS / HealthKit jelenleg nem aktív; iOS-verzió indulása előtt frissítendő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Az iOS App Store HealthKit engedélykérő szövege az App Store Connect-ben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külön megadandó NSHealthShareUsageDescription kulcs alatt.</w:t>
            </w:r>
          </w:p>
          <w:p>
            <w:pPr>
              <w:spacing w:after="60"/>
              <w:ind w:left="120" w:right="120"/>
            </w:pPr>
            <w:r>
              <w:t xml:space="preserve">Javasolt szöveg: </w:t>
            </w:r>
            <w:r>
              <w:rPr/>
              <w:t>iOS / HealthKit jelenleg nem aktív; iOS-verzió előtt frissítendő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80" w:before="200"/>
      </w:pPr>
      <w:r>
        <w:rPr>
          <w:rFonts w:ascii="Arial" w:cs="Arial" w:eastAsia="Arial" w:hAnsi="Arial"/>
          <w:b/>
          <w:bCs/>
          <w:color w:val="1B6B4A"/>
          <w:sz w:val="22"/>
          <w:szCs w:val="22"/>
        </w:rPr>
        <w:t xml:space="preserve">5.5 Implementációs megjegyzések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b w:val="false"/>
          <w:bCs w:val="false"/>
          <w:color w:val="1A1A2E"/>
          <w:sz w:val="22"/>
          <w:szCs w:val="22"/>
        </w:rPr>
        <w:t xml:space="preserve">A Health Connect dialog előtt kötelező a fenti előzetes tájékoztató megjelenítése (Play Health Connect policy).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b w:val="false"/>
          <w:bCs w:val="false"/>
          <w:color w:val="1A1A2E"/>
          <w:sz w:val="22"/>
          <w:szCs w:val="22"/>
        </w:rPr>
        <w:t xml:space="preserve">Ha a felhasználó a Health Connect-ben megtagadja: az app a megtagadást naplózza, a funkció nem érhető el, de az app tovább fut.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b w:val="false"/>
          <w:bCs w:val="false"/>
          <w:color w:val="1A1A2E"/>
          <w:sz w:val="22"/>
          <w:szCs w:val="22"/>
        </w:rPr>
        <w:t xml:space="preserve">Consent log bejegyzés: consent_type: "health_connect" — lásd 7. fejezet.</w:t>
      </w:r>
    </w:p>
    <w:p>
      <w:pPr>
        <w:spacing w:after="160"/>
      </w:pPr>
      <w:r>
        <w:t xml:space="preserve"/>
      </w:r>
    </w:p>
    <w:p>
      <w:pPr>
        <w:shd w:fill="1B6B4A" w:val="clear"/>
        <w:spacing w:after="120" w:before="240"/>
        <w:ind w:left="120" w:right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6. 3. lépés — Banki értesítés olvasási engedély</w:t>
      </w:r>
    </w:p>
    <w:p>
      <w:pPr>
        <w:spacing w:after="80"/>
      </w:pPr>
      <w:r>
        <w:t xml:space="preserve"/>
      </w:r>
    </w:p>
    <w:p>
      <w:pPr>
        <w:spacing w:after="80" w:before="200"/>
      </w:pPr>
      <w:r>
        <w:rPr>
          <w:rFonts w:ascii="Arial" w:cs="Arial" w:eastAsia="Arial" w:hAnsi="Arial"/>
          <w:b/>
          <w:bCs/>
          <w:color w:val="1B6B4A"/>
          <w:sz w:val="22"/>
          <w:szCs w:val="22"/>
        </w:rPr>
        <w:t xml:space="preserve">6.1 Mikor jelenik meg</w:t>
      </w:r>
    </w:p>
    <w:p>
      <w:pPr>
        <w:spacing w:after="100"/>
        <w:jc w:val="both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A Health Connect lépés után (függetlenül annak eredményétől). Opcionális. Később újra kérhető: Beállítások → Banki értesítések.</w:t>
      </w:r>
    </w:p>
    <w:p>
      <w:pPr>
        <w:spacing w:after="80"/>
      </w:pPr>
      <w:r>
        <w:t xml:space="preserve"/>
      </w:r>
    </w:p>
    <w:p>
      <w:pPr>
        <w:spacing w:after="80" w:before="200"/>
      </w:pPr>
      <w:r>
        <w:rPr>
          <w:rFonts w:ascii="Arial" w:cs="Arial" w:eastAsia="Arial" w:hAnsi="Arial"/>
          <w:b/>
          <w:bCs/>
          <w:color w:val="1B6B4A"/>
          <w:sz w:val="22"/>
          <w:szCs w:val="22"/>
        </w:rPr>
        <w:t xml:space="preserve">6.2 Előzetes tájékoztató dialog</w:t>
      </w:r>
    </w:p>
    <w:p>
      <w:pPr>
        <w:spacing w:after="80"/>
      </w:pPr>
      <w: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single" w:color="1B6B4A" w:sz="6"/>
              <w:left w:val="single" w:color="1B6B4A" w:sz="6"/>
              <w:bottom w:val="single" w:color="1B6B4A" w:sz="6"/>
              <w:right w:val="single" w:color="1B6B4A" w:sz="6"/>
            </w:tcBorders>
            <w:shd w:fill="F0F7F4" w:val="clear"/>
            <w:tcMar>
              <w:top w:type="dxa" w:w="140"/>
              <w:left w:type="dxa" w:w="180"/>
              <w:bottom w:type="dxa" w:w="140"/>
              <w:right w:type="dxa" w:w="180"/>
            </w:tcMar>
          </w:tcPr>
          <w:p>
            <w:pPr>
              <w:spacing w:after="80"/>
              <w:ind w:left="120" w:right="120"/>
            </w:pPr>
            <w:r>
              <w:rPr>
                <w:rFonts w:ascii="Arial" w:cs="Arial" w:eastAsia="Arial" w:hAnsi="Arial"/>
                <w:b/>
                <w:bCs/>
                <w:color w:val="1B6B4A"/>
                <w:sz w:val="20"/>
                <w:szCs w:val="20"/>
              </w:rPr>
              <w:t xml:space="preserve">[ KÉPERNYŐ: Automatikus tranzakcióimport ]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C8E6DA"/>
                <w:sz w:val="16"/>
                <w:szCs w:val="16"/>
              </w:rPr>
              <w:t xml:space="preserve">────────────────────────────────────────────────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/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Automatikus kiadás-rögzítés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/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 Cashletics képes automatikusan rögzíteni a kiadásaidat,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ha engedélyezed, hogy olvassa a banki push értesítéseidet.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/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Fontos tudnivalók: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  • Az app CSAK az értesítések szövegét olvassa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  • NEM fér hozzá bankszámládhoz vagy belépési adataidhoz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  • Az értesítés szövege NEM kerül szerverre — csak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    a feldolgozott összeg és kereskedő neve tárolódik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  • Az engedélyt bármikor visszavonhatod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/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→ Banki értesítés hozzájárulási nyilatkozat [link]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/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────────────────────────────────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/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[ Értesítés-hozzáférés engedélyezése ]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/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[ Kihagyom — manuálisan rögzítem a kiadásokat ]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80" w:before="200"/>
      </w:pPr>
      <w:r>
        <w:rPr>
          <w:rFonts w:ascii="Arial" w:cs="Arial" w:eastAsia="Arial" w:hAnsi="Arial"/>
          <w:b/>
          <w:bCs/>
          <w:color w:val="1B6B4A"/>
          <w:sz w:val="22"/>
          <w:szCs w:val="22"/>
        </w:rPr>
        <w:t xml:space="preserve">6.3 Android NotificationListenerService rendszer-dialog</w:t>
      </w:r>
    </w:p>
    <w:p>
      <w:pPr>
        <w:spacing w:after="100"/>
        <w:jc w:val="both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Az „Értesítés-hozzáférés engedélyezése" gomb az Android Beállítások → Alkalmazások → Speciális alkalmazás-hozzáférés → Értesítési hozzáférés képernyőre navigál. A rendszer-szintű engedélyt a felhasználó ott kapcsolja be.</w:t>
      </w:r>
    </w:p>
    <w:p>
      <w:pPr>
        <w:spacing w:after="80"/>
      </w:pPr>
      <w:r>
        <w:t xml:space="preserve"/>
      </w:r>
    </w:p>
    <w:p>
      <w:pPr>
        <w:spacing w:after="80" w:before="200"/>
      </w:pPr>
      <w:r>
        <w:rPr>
          <w:rFonts w:ascii="Arial" w:cs="Arial" w:eastAsia="Arial" w:hAnsi="Arial"/>
          <w:b/>
          <w:bCs/>
          <w:color w:val="1B6B4A"/>
          <w:sz w:val="22"/>
          <w:szCs w:val="22"/>
        </w:rPr>
        <w:t xml:space="preserve">6.4 Implementációs megjegyzések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b w:val="false"/>
          <w:bCs w:val="false"/>
          <w:color w:val="1A1A2E"/>
          <w:sz w:val="22"/>
          <w:szCs w:val="22"/>
        </w:rPr>
        <w:t xml:space="preserve">A NotificationListenerService csak akkor indul el, ha a felhasználó a rendszerszintű engedélyt is megadta.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b w:val="false"/>
          <w:bCs w:val="false"/>
          <w:color w:val="1A1A2E"/>
          <w:sz w:val="22"/>
          <w:szCs w:val="22"/>
        </w:rPr>
        <w:t xml:space="preserve">Az engedély állapotát (granted/denied/revoked) minden app-induláskor ellenőrizni kell.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b w:val="false"/>
          <w:bCs w:val="false"/>
          <w:color w:val="1A1A2E"/>
          <w:sz w:val="22"/>
          <w:szCs w:val="22"/>
        </w:rPr>
        <w:t xml:space="preserve">Consent log bejegyzés: consent_type: "banking_notification" — lásd 7. fejezet.</w:t>
      </w:r>
    </w:p>
    <w:p>
      <w:pPr>
        <w:spacing w:after="160"/>
      </w:pPr>
      <w:r>
        <w:t xml:space="preserve"/>
      </w:r>
    </w:p>
    <w:p>
      <w:pPr>
        <w:shd w:fill="1B6B4A" w:val="clear"/>
        <w:spacing w:after="120" w:before="240"/>
        <w:ind w:left="120" w:right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7. 4. lépés — Marketing push értesítés (FCM)</w:t>
      </w:r>
    </w:p>
    <w:p>
      <w:pPr>
        <w:spacing w:after="80"/>
      </w:pPr>
      <w: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single" w:color="D4A017" w:sz="4"/>
              <w:left w:val="thick" w:color="D4A017" w:sz="12"/>
              <w:bottom w:val="single" w:color="D4A017" w:sz="4"/>
              <w:right w:val="single" w:color="D4A017" w:sz="4"/>
            </w:tcBorders>
            <w:shd w:fill="FEF6E4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⚠  Jövőbeli funkció — FCM (Firebase Cloud Messaging) jelenleg NEM aktív.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Ez a lépés csak az FCM aktiválása után kerül a consent flow-ba.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 szöveg előre elkészítve, SZ-001 trigger: „ha FCM aktiválódik, implementáld ezt a lépést".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80" w:before="200"/>
      </w:pPr>
      <w:r>
        <w:rPr>
          <w:rFonts w:ascii="Arial" w:cs="Arial" w:eastAsia="Arial" w:hAnsi="Arial"/>
          <w:b/>
          <w:bCs/>
          <w:color w:val="1B6B4A"/>
          <w:sz w:val="22"/>
          <w:szCs w:val="22"/>
        </w:rPr>
        <w:t xml:space="preserve">7.1 UI-szöveg (előre elkészített, jövőbeli implementációhoz)</w:t>
      </w:r>
    </w:p>
    <w:p>
      <w:pPr>
        <w:spacing w:after="80"/>
      </w:pPr>
      <w: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single" w:color="1B6B4A" w:sz="6"/>
              <w:left w:val="single" w:color="1B6B4A" w:sz="6"/>
              <w:bottom w:val="single" w:color="1B6B4A" w:sz="6"/>
              <w:right w:val="single" w:color="1B6B4A" w:sz="6"/>
            </w:tcBorders>
            <w:shd w:fill="F0F7F4" w:val="clear"/>
            <w:tcMar>
              <w:top w:type="dxa" w:w="140"/>
              <w:left w:type="dxa" w:w="180"/>
              <w:bottom w:type="dxa" w:w="140"/>
              <w:right w:type="dxa" w:w="180"/>
            </w:tcMar>
          </w:tcPr>
          <w:p>
            <w:pPr>
              <w:spacing w:after="80"/>
              <w:ind w:left="120" w:right="120"/>
            </w:pPr>
            <w:r>
              <w:rPr>
                <w:rFonts w:ascii="Arial" w:cs="Arial" w:eastAsia="Arial" w:hAnsi="Arial"/>
                <w:b/>
                <w:bCs/>
                <w:color w:val="1B6B4A"/>
                <w:sz w:val="20"/>
                <w:szCs w:val="20"/>
              </w:rPr>
              <w:t xml:space="preserve">[ KÉPERNYŐ: Értesítések beállítása ] — JÖVŐBELI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C8E6DA"/>
                <w:sz w:val="16"/>
                <w:szCs w:val="16"/>
              </w:rPr>
              <w:t xml:space="preserve">────────────────────────────────────────────────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/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Maradj motivált értesítésekkel!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/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Szeretnéd, ha értesítenénk: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  • ha közel vagy egy kihívás teljesítéséhez,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  • ha jutalmad érkezett,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  • ha egy barátod megelőzött a ranglistán?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/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Az értesítéseket bármikor kikapcsolhatod a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Beállítások → Értesítések menüpontban.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/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────────────────────────────────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/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[ Igen, értesítéseket kérek ]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/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[ Nem kérek értesítést ]</w:t>
            </w:r>
          </w:p>
        </w:tc>
      </w:tr>
    </w:tbl>
    <w:p>
      <w:pPr>
        <w:spacing w:after="160"/>
      </w:pPr>
      <w:r>
        <w:t xml:space="preserve"/>
      </w:r>
    </w:p>
    <w:p>
      <w:pPr>
        <w:shd w:fill="1B6B4A" w:val="clear"/>
        <w:spacing w:after="120" w:before="240"/>
        <w:ind w:left="120" w:right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8. 5. lépés — Analytics és reklám tracking (AdMob)</w:t>
      </w:r>
    </w:p>
    <w:p>
      <w:pPr>
        <w:spacing w:after="80"/>
      </w:pPr>
      <w:r>
        <w:t xml:space="preserve"/>
      </w:r>
    </w:p>
    <w:p>
      <w:pPr>
        <w:spacing w:after="80" w:before="200"/>
      </w:pPr>
      <w:r>
        <w:rPr>
          <w:rFonts w:ascii="Arial" w:cs="Arial" w:eastAsia="Arial" w:hAnsi="Arial"/>
          <w:b/>
          <w:bCs/>
          <w:color w:val="1B6B4A"/>
          <w:sz w:val="22"/>
          <w:szCs w:val="22"/>
        </w:rPr>
        <w:t xml:space="preserve">8.1 Mikor jelenik meg</w:t>
      </w:r>
    </w:p>
    <w:p>
      <w:pPr>
        <w:spacing w:after="100"/>
        <w:jc w:val="both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Csak Free felhasználóknak. PRO felhasználóknál ez a lépés kihagyandó (nincs reklám). Az Android rendszer ATT (App Tracking Transparency) megfelelőjén felül az app saját consent dialógot is megjelenít.</w:t>
      </w:r>
    </w:p>
    <w:p>
      <w:pPr>
        <w:spacing w:after="80"/>
      </w:pPr>
      <w:r>
        <w:t xml:space="preserve"/>
      </w:r>
    </w:p>
    <w:p>
      <w:pPr>
        <w:spacing w:after="80" w:before="200"/>
      </w:pPr>
      <w:r>
        <w:rPr>
          <w:rFonts w:ascii="Arial" w:cs="Arial" w:eastAsia="Arial" w:hAnsi="Arial"/>
          <w:b/>
          <w:bCs/>
          <w:color w:val="1B6B4A"/>
          <w:sz w:val="22"/>
          <w:szCs w:val="22"/>
        </w:rPr>
        <w:t xml:space="preserve">8.2 UI-szöveg</w:t>
      </w:r>
    </w:p>
    <w:p>
      <w:pPr>
        <w:spacing w:after="80"/>
      </w:pPr>
      <w: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single" w:color="1B6B4A" w:sz="6"/>
              <w:left w:val="single" w:color="1B6B4A" w:sz="6"/>
              <w:bottom w:val="single" w:color="1B6B4A" w:sz="6"/>
              <w:right w:val="single" w:color="1B6B4A" w:sz="6"/>
            </w:tcBorders>
            <w:shd w:fill="F0F7F4" w:val="clear"/>
            <w:tcMar>
              <w:top w:type="dxa" w:w="140"/>
              <w:left w:type="dxa" w:w="180"/>
              <w:bottom w:type="dxa" w:w="140"/>
              <w:right w:type="dxa" w:w="180"/>
            </w:tcMar>
          </w:tcPr>
          <w:p>
            <w:pPr>
              <w:spacing w:after="80"/>
              <w:ind w:left="120" w:right="120"/>
            </w:pPr>
            <w:r>
              <w:rPr>
                <w:rFonts w:ascii="Arial" w:cs="Arial" w:eastAsia="Arial" w:hAnsi="Arial"/>
                <w:b/>
                <w:bCs/>
                <w:color w:val="1B6B4A"/>
                <w:sz w:val="20"/>
                <w:szCs w:val="20"/>
              </w:rPr>
              <w:t xml:space="preserve">[ KÉPERNYŐ: Személyre szabás és statisztikák ]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C8E6DA"/>
                <w:sz w:val="16"/>
                <w:szCs w:val="16"/>
              </w:rPr>
              <w:t xml:space="preserve">────────────────────────────────────────────────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/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Segíts nekünk jobbá tenni a Cashletics-et!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/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Ha hozzájárulsz, az alábbi adatokat gyűjtjük: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  • Alkalmazás-használati statisztikák (Firebase Analytics)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  • Hirdetési azonosító (GAID) — személyre szabott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    reklámokhoz (Google AdMob)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/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Ha nem járulsz hozzá: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  • Nem személyre szabott hirdetések jelennek meg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  • Az app alapfunkciói nem változnak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/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→ Cookie és Tracking szabályzat [link]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/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────────────────────────────────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/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[ Hozzájárulok ]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/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[ Nem járulok hozzá ]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80" w:before="200"/>
      </w:pPr>
      <w:r>
        <w:rPr>
          <w:rFonts w:ascii="Arial" w:cs="Arial" w:eastAsia="Arial" w:hAnsi="Arial"/>
          <w:b/>
          <w:bCs/>
          <w:color w:val="1B6B4A"/>
          <w:sz w:val="22"/>
          <w:szCs w:val="22"/>
        </w:rPr>
        <w:t xml:space="preserve">8.3 Implementációs megjegyzések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b w:val="false"/>
          <w:bCs w:val="false"/>
          <w:color w:val="1A1A2E"/>
          <w:sz w:val="22"/>
          <w:szCs w:val="22"/>
        </w:rPr>
        <w:t xml:space="preserve">A Google UMP (User Messaging Platform) SDK integrálása kötelező a Google Consent Mode v2 megfeleléshez.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b w:val="false"/>
          <w:bCs w:val="false"/>
          <w:color w:val="1A1A2E"/>
          <w:sz w:val="22"/>
          <w:szCs w:val="22"/>
        </w:rPr>
        <w:t xml:space="preserve">„Hozzájárulok" → GDPR consent state: GRANTED → Firebase Analytics + AdMob személyre szabott mód.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b w:val="false"/>
          <w:bCs w:val="false"/>
          <w:color w:val="1A1A2E"/>
          <w:sz w:val="22"/>
          <w:szCs w:val="22"/>
        </w:rPr>
        <w:t xml:space="preserve">„Nem járulok hozzá" → GDPR consent state: DENIED → AdMob non-personalized ads mód, Analytics korlátozott.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b w:val="false"/>
          <w:bCs w:val="false"/>
          <w:color w:val="1A1A2E"/>
          <w:sz w:val="22"/>
          <w:szCs w:val="22"/>
        </w:rPr>
        <w:t xml:space="preserve">PRO userek: az AdMob SDK inicializálása kihagyható, consent kérés nem szükséges.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b w:val="false"/>
          <w:bCs w:val="false"/>
          <w:color w:val="1A1A2E"/>
          <w:sz w:val="22"/>
          <w:szCs w:val="22"/>
        </w:rPr>
        <w:t xml:space="preserve">Consent log bejegyzés: consent_type: "analytics_ads" — lásd 7. fejezet.</w:t>
      </w:r>
    </w:p>
    <w:p>
      <w:pPr>
        <w:spacing w:after="160"/>
      </w:pPr>
      <w:r>
        <w:t xml:space="preserve"/>
      </w:r>
    </w:p>
    <w:p>
      <w:pPr>
        <w:shd w:fill="1B6B4A" w:val="clear"/>
        <w:spacing w:after="120" w:before="240"/>
        <w:ind w:left="120" w:right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9. Consent visszavonási útvonalak — Settings menü struktúra</w:t>
      </w:r>
    </w:p>
    <w:p>
      <w:pPr>
        <w:spacing w:after="80"/>
      </w:pPr>
      <w:r>
        <w:t xml:space="preserve"/>
      </w:r>
    </w:p>
    <w:p>
      <w:pPr>
        <w:spacing w:after="100"/>
        <w:jc w:val="both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A felhasználó bármely consent-et visszavonhatja az app Beállítások menüjéből. Az alábbi struktúra implementálandó:</w:t>
      </w:r>
    </w:p>
    <w:p>
      <w:pPr>
        <w:spacing w:after="80"/>
      </w:pPr>
      <w: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2800"/>
        <w:gridCol w:w="3638"/>
      </w:tblGrid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Beállítások menüpont</w:t>
            </w:r>
          </w:p>
        </w:tc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Mit vált vissza</w:t>
            </w:r>
          </w:p>
        </w:tc>
        <w:tc>
          <w:tcPr>
            <w:tcW w:type="dxa" w:w="36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Hatás visszavonáskor</w:t>
            </w:r>
          </w:p>
        </w:tc>
      </w:tr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Adatvédelem → ÁSZF és AT</w:t>
            </w:r>
          </w:p>
        </w:tc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Nem vonható vissza — csak fiók törlésével</w:t>
            </w:r>
          </w:p>
        </w:tc>
        <w:tc>
          <w:tcPr>
            <w:tcW w:type="dxa" w:w="36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Fiók törlés gomb elérhető</w:t>
            </w:r>
          </w:p>
        </w:tc>
      </w:tr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Adatvédelem → Egészségügyi adatok</w:t>
            </w:r>
          </w:p>
        </w:tc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Health Connect / HealthKit engedély</w:t>
            </w:r>
          </w:p>
        </w:tc>
        <w:tc>
          <w:tcPr>
            <w:tcW w:type="dxa" w:w="36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Lépésszám-funkciók leállnak; korábbi adatok megmaradnak (külön törölhetők)</w:t>
            </w:r>
          </w:p>
        </w:tc>
      </w:tr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Adatvédelem → Banki értesítések</w:t>
            </w:r>
          </w:p>
        </w:tc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NotificationListenerService engedély</w:t>
            </w:r>
          </w:p>
        </w:tc>
        <w:tc>
          <w:tcPr>
            <w:tcW w:type="dxa" w:w="36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Automatikus import leáll; importált tranzakciók megmaradnak</w:t>
            </w:r>
          </w:p>
        </w:tc>
      </w:tr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Adatvédelem → Értesítések</w:t>
            </w:r>
          </w:p>
        </w:tc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FCM push engedély (jövőbeli)</w:t>
            </w:r>
          </w:p>
        </w:tc>
        <w:tc>
          <w:tcPr>
            <w:tcW w:type="dxa" w:w="36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Értesítések leállnak</w:t>
            </w:r>
          </w:p>
        </w:tc>
      </w:tr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Adatvédelem → Hirdetések és analitika</w:t>
            </w:r>
          </w:p>
        </w:tc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AdMob + Analytics consent</w:t>
            </w:r>
          </w:p>
        </w:tc>
        <w:tc>
          <w:tcPr>
            <w:tcW w:type="dxa" w:w="36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Nem személyre szabott hirdetések; analitika korlátozott</w:t>
            </w:r>
          </w:p>
        </w:tc>
      </w:tr>
      <w:tr>
        <w:tc>
          <w:tcPr>
            <w:tcW w:type="dxa" w:w="32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Fiók → Fiók törlése</w:t>
            </w:r>
          </w:p>
        </w:tc>
        <w:tc>
          <w:tcPr>
            <w:tcW w:type="dxa" w:w="2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Minden adat + minden consent</w:t>
            </w:r>
          </w:p>
        </w:tc>
        <w:tc>
          <w:tcPr>
            <w:tcW w:type="dxa" w:w="36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Firestore adatok törlése, fiók megszűnik</w:t>
            </w:r>
          </w:p>
        </w:tc>
      </w:tr>
    </w:tbl>
    <w:p>
      <w:pPr>
        <w:spacing w:after="80"/>
      </w:pPr>
      <w: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single" w:color="C8E6DA" w:sz="4"/>
              <w:left w:val="thick" w:color="1B6B4A" w:sz="12"/>
              <w:bottom w:val="single" w:color="C8E6DA" w:sz="4"/>
              <w:right w:val="single" w:color="C8E6DA" w:sz="4"/>
            </w:tcBorders>
            <w:shd w:fill="F7FBF9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ℹ  Fejlesztői megjegyzés — visszavonás naplózása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A consent visszavonást ugyanolyan Firestore log bejegyzéssel kell rögzíteni,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mint az eredeti hozzájárulást — action: "revoked" mezővel.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Lásd: 10. fejezet — Firestore consent log séma.</w:t>
            </w:r>
          </w:p>
        </w:tc>
      </w:tr>
    </w:tbl>
    <w:p>
      <w:pPr>
        <w:spacing w:after="160"/>
      </w:pPr>
      <w:r>
        <w:t xml:space="preserve"/>
      </w:r>
    </w:p>
    <w:p>
      <w:pPr>
        <w:shd w:fill="1B6B4A" w:val="clear"/>
        <w:spacing w:after="120" w:before="240"/>
        <w:ind w:left="120" w:right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10. Firestore consent log séma — GDPR 7(1) bizonyíthatóság</w:t>
      </w:r>
    </w:p>
    <w:p>
      <w:pPr>
        <w:spacing w:after="80"/>
      </w:pPr>
      <w:r>
        <w:t xml:space="preserve"/>
      </w:r>
    </w:p>
    <w:p>
      <w:pPr>
        <w:spacing w:after="100"/>
        <w:jc w:val="both"/>
      </w:pPr>
      <w:r>
        <w:rPr>
          <w:rFonts w:ascii="Arial" w:cs="Arial" w:eastAsia="Arial" w:hAnsi="Arial"/>
          <w:color w:val="1A1A2E"/>
          <w:sz w:val="22"/>
          <w:szCs w:val="22"/>
        </w:rPr>
        <w:t xml:space="preserve">A GDPR 7(1) cikke alapján az adatkezelőnek bizonyítania kell, hogy a felhasználó hozzájárult az adatkezeléshez. Minden consent eseményt az alábbi struktúrában kell Firestore-ban tárolni.</w:t>
      </w:r>
    </w:p>
    <w:p>
      <w:pPr>
        <w:spacing w:after="80"/>
      </w:pPr>
      <w:r>
        <w:t xml:space="preserve"/>
      </w:r>
    </w:p>
    <w:p>
      <w:pPr>
        <w:spacing w:after="80" w:before="200"/>
      </w:pPr>
      <w:r>
        <w:rPr>
          <w:rFonts w:ascii="Arial" w:cs="Arial" w:eastAsia="Arial" w:hAnsi="Arial"/>
          <w:b/>
          <w:bCs/>
          <w:color w:val="1B6B4A"/>
          <w:sz w:val="22"/>
          <w:szCs w:val="22"/>
        </w:rPr>
        <w:t xml:space="preserve">10.1 Gyűjtemény struktúra</w:t>
      </w:r>
    </w:p>
    <w:p>
      <w:pPr>
        <w:spacing w:after="80"/>
      </w:pPr>
      <w: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single" w:color="1B6B4A" w:sz="6"/>
              <w:left w:val="single" w:color="1B6B4A" w:sz="6"/>
              <w:bottom w:val="single" w:color="1B6B4A" w:sz="6"/>
              <w:right w:val="single" w:color="1B6B4A" w:sz="6"/>
            </w:tcBorders>
            <w:shd w:fill="F0F7F4" w:val="clear"/>
            <w:tcMar>
              <w:top w:type="dxa" w:w="140"/>
              <w:left w:type="dxa" w:w="180"/>
              <w:bottom w:type="dxa" w:w="140"/>
              <w:right w:type="dxa" w:w="180"/>
            </w:tcMar>
          </w:tcPr>
          <w:p>
            <w:pPr>
              <w:spacing w:after="80"/>
              <w:ind w:left="120" w:right="120"/>
            </w:pPr>
            <w:r>
              <w:rPr>
                <w:rFonts w:ascii="Arial" w:cs="Arial" w:eastAsia="Arial" w:hAnsi="Arial"/>
                <w:b/>
                <w:bCs/>
                <w:color w:val="1B6B4A"/>
                <w:sz w:val="20"/>
                <w:szCs w:val="20"/>
              </w:rPr>
              <w:t xml:space="preserve">Firestore adatstruktúra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C8E6DA"/>
                <w:sz w:val="16"/>
                <w:szCs w:val="16"/>
              </w:rPr>
              <w:t xml:space="preserve">────────────────────────────────────────────────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users/{userId}/consents/{consentId}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/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{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  consent_type:   string,   // "terms_and_privacy" | "health_connect"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                            // | "banking_notification" | "analytics_ads"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                            // | "marketing_push"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  action:         string,   // "granted" | "denied" | "revoked"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  timestamp:      Timestamp, // Firebase szerver timestamp (NEM kliens)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  app_version:    string,   // pl. "1.0.0"</w:t>
            </w:r>
          </w:p>
          <w:p>
            <w:pPr>
              <w:spacing w:after="60"/>
              <w:ind w:left="120" w:right="120"/>
            </w:pPr>
            <w:r>
              <w:t xml:space="preserve">  document_version: string, // pl. "ASZF-001 </w:t>
            </w:r>
            <w:r>
              <w:rPr/>
              <w:t>v1.5</w:t>
            </w:r>
            <w:r>
              <w:t>"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  platform:       string,   // "android" | "ios"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  os_version:     string,   // pl. "Android 14"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  ip_hash:        string,   // SHA-256 hash (nem plain IP — adatminimalizálás)</w:t>
            </w:r>
          </w:p>
          <w:p>
            <w:pPr>
              <w:spacing w:after="60"/>
              <w:ind w:left="120" w:right="12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}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80" w:before="200"/>
      </w:pPr>
      <w:r>
        <w:rPr>
          <w:rFonts w:ascii="Arial" w:cs="Arial" w:eastAsia="Arial" w:hAnsi="Arial"/>
          <w:b/>
          <w:bCs/>
          <w:color w:val="1B6B4A"/>
          <w:sz w:val="22"/>
          <w:szCs w:val="22"/>
        </w:rPr>
        <w:t xml:space="preserve">10.2 Consent típusok és dokumentum verziók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800"/>
        <w:gridCol w:w="5838"/>
      </w:tblGrid>
      <w:tr>
        <w:tc>
          <w:tcPr>
            <w:tcW w:type="dxa" w:w="3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consent_type</w:t>
            </w:r>
          </w:p>
        </w:tc>
        <w:tc>
          <w:tcPr>
            <w:tcW w:type="dxa" w:w="58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document_version mező értéke</w:t>
            </w:r>
          </w:p>
        </w:tc>
      </w:tr>
      <w:tr>
        <w:tc>
          <w:tcPr>
            <w:tcW w:type="dxa" w:w="3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"terms_and_privacy"</w:t>
            </w:r>
          </w:p>
        </w:tc>
        <w:tc>
          <w:tcPr>
            <w:tcW w:type="dxa" w:w="58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t xml:space="preserve">"ASZF-001 </w:t>
            </w:r>
            <w:r>
              <w:rPr/>
              <w:t>v1.5</w:t>
            </w:r>
            <w:r>
              <w:t xml:space="preserve"> + AT-001 </w:t>
            </w:r>
            <w:r>
              <w:rPr/>
              <w:t>v1.5</w:t>
            </w:r>
            <w:r>
              <w:t>"</w:t>
            </w:r>
          </w:p>
        </w:tc>
      </w:tr>
      <w:tr>
        <w:tc>
          <w:tcPr>
            <w:tcW w:type="dxa" w:w="3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"health_connect"</w:t>
            </w:r>
          </w:p>
        </w:tc>
        <w:tc>
          <w:tcPr>
            <w:tcW w:type="dxa" w:w="58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t xml:space="preserve">"HE-001 </w:t>
            </w:r>
            <w:r>
              <w:rPr/>
              <w:t>v1.5</w:t>
            </w:r>
            <w:r>
              <w:t>"</w:t>
            </w:r>
          </w:p>
        </w:tc>
      </w:tr>
      <w:tr>
        <w:tc>
          <w:tcPr>
            <w:tcW w:type="dxa" w:w="3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"banking_notification"</w:t>
            </w:r>
          </w:p>
        </w:tc>
        <w:tc>
          <w:tcPr>
            <w:tcW w:type="dxa" w:w="58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t xml:space="preserve">"BH-001 </w:t>
            </w:r>
            <w:r>
              <w:rPr/>
              <w:t>v1.5</w:t>
            </w:r>
            <w:r>
              <w:t>"</w:t>
            </w:r>
          </w:p>
        </w:tc>
      </w:tr>
      <w:tr>
        <w:tc>
          <w:tcPr>
            <w:tcW w:type="dxa" w:w="3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"analytics_ads"</w:t>
            </w:r>
          </w:p>
        </w:tc>
        <w:tc>
          <w:tcPr>
            <w:tcW w:type="dxa" w:w="58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t xml:space="preserve">"CK-001 </w:t>
            </w:r>
            <w:r>
              <w:rPr/>
              <w:t>v1.5</w:t>
            </w:r>
            <w:r>
              <w:t>"</w:t>
            </w:r>
          </w:p>
        </w:tc>
      </w:tr>
      <w:tr>
        <w:tc>
          <w:tcPr>
            <w:tcW w:type="dxa" w:w="38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"marketing_push"</w:t>
            </w:r>
          </w:p>
        </w:tc>
        <w:tc>
          <w:tcPr>
            <w:tcW w:type="dxa" w:w="58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t xml:space="preserve">"AT-001 </w:t>
            </w:r>
            <w:r>
              <w:rPr/>
              <w:t>v1.5</w:t>
            </w:r>
            <w:r>
              <w:t xml:space="preserve"> §6" (jövőbeli)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80" w:before="200"/>
      </w:pPr>
      <w:r>
        <w:rPr>
          <w:rFonts w:ascii="Arial" w:cs="Arial" w:eastAsia="Arial" w:hAnsi="Arial"/>
          <w:b/>
          <w:bCs/>
          <w:color w:val="1B6B4A"/>
          <w:sz w:val="22"/>
          <w:szCs w:val="22"/>
        </w:rPr>
        <w:t xml:space="preserve">10.3 Megjegyzések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b w:val="false"/>
          <w:bCs w:val="false"/>
          <w:color w:val="1A1A2E"/>
          <w:sz w:val="22"/>
          <w:szCs w:val="22"/>
        </w:rPr>
        <w:t xml:space="preserve">A timestamp értéke mindig Firebase FieldValue.serverTimestamp() — kliens oldali timestamp nem elfogadható (manipulálható).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b w:val="false"/>
          <w:bCs w:val="false"/>
          <w:color w:val="1A1A2E"/>
          <w:sz w:val="22"/>
          <w:szCs w:val="22"/>
        </w:rPr>
        <w:t xml:space="preserve">A consent log bejegyzések NEM törölhetők fiók törlés esetén sem — 5 éves megőrzési idő (GDPR 7(1) bizonyíthatóság).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b w:val="false"/>
          <w:bCs w:val="false"/>
          <w:color w:val="1A1A2E"/>
          <w:sz w:val="22"/>
          <w:szCs w:val="22"/>
        </w:rPr>
        <w:t xml:space="preserve">A consent_id mező automatikusan generált Firestore document ID.</w:t>
      </w:r>
    </w:p>
    <w:p>
      <w:pPr>
        <w:spacing w:after="160"/>
      </w:pPr>
      <w:r>
        <w:t xml:space="preserve"/>
      </w:r>
    </w:p>
    <w:p>
      <w:pPr>
        <w:shd w:fill="1B6B4A" w:val="clear"/>
        <w:spacing w:after="120" w:before="240"/>
        <w:ind w:left="120" w:right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11. Play Store review-ready megfelelési összefoglaló</w:t>
      </w:r>
    </w:p>
    <w:p>
      <w:pPr>
        <w:spacing w:after="80"/>
      </w:pPr>
      <w: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00"/>
        <w:gridCol w:w="4038"/>
        <w:gridCol w:w="2000"/>
      </w:tblGrid>
      <w:tr>
        <w:tc>
          <w:tcPr>
            <w:tcW w:type="dxa" w:w="36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Play Store követelmény</w:t>
            </w:r>
          </w:p>
        </w:tc>
        <w:tc>
          <w:tcPr>
            <w:tcW w:type="dxa" w:w="40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Cashletics megvalósítás</w:t>
            </w:r>
          </w:p>
        </w:tc>
        <w:tc>
          <w:tcPr>
            <w:tcW w:type="dxa" w:w="2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Státusz</w:t>
            </w:r>
          </w:p>
        </w:tc>
      </w:tr>
      <w:tr>
        <w:tc>
          <w:tcPr>
            <w:tcW w:type="dxa" w:w="36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Prominent disclosure Health Connect előtt</w:t>
            </w:r>
          </w:p>
        </w:tc>
        <w:tc>
          <w:tcPr>
            <w:tcW w:type="dxa" w:w="40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5.2 fejezet — előzetes tájékoztató dialog</w:t>
            </w:r>
          </w:p>
        </w:tc>
        <w:tc>
          <w:tcPr>
            <w:tcW w:type="dxa" w:w="2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✔ Kész</w:t>
            </w:r>
          </w:p>
        </w:tc>
      </w:tr>
      <w:tr>
        <w:tc>
          <w:tcPr>
            <w:tcW w:type="dxa" w:w="36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Prominent disclosure NotificationListener előtt</w:t>
            </w:r>
          </w:p>
        </w:tc>
        <w:tc>
          <w:tcPr>
            <w:tcW w:type="dxa" w:w="40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6.2 fejezet — előzetes tájékoztató dialog</w:t>
            </w:r>
          </w:p>
        </w:tc>
        <w:tc>
          <w:tcPr>
            <w:tcW w:type="dxa" w:w="2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✔ Kész</w:t>
            </w:r>
          </w:p>
        </w:tc>
      </w:tr>
      <w:tr>
        <w:tc>
          <w:tcPr>
            <w:tcW w:type="dxa" w:w="36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Explicit opt-in (nem előre bepipált)</w:t>
            </w:r>
          </w:p>
        </w:tc>
        <w:tc>
          <w:tcPr>
            <w:tcW w:type="dxa" w:w="40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4.2 fejezet — üres checkbox</w:t>
            </w:r>
          </w:p>
        </w:tc>
        <w:tc>
          <w:tcPr>
            <w:tcW w:type="dxa" w:w="2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✔ Kész</w:t>
            </w:r>
          </w:p>
        </w:tc>
      </w:tr>
      <w:tr>
        <w:tc>
          <w:tcPr>
            <w:tcW w:type="dxa" w:w="36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Visszavonhatóság Beállításokban</w:t>
            </w:r>
          </w:p>
        </w:tc>
        <w:tc>
          <w:tcPr>
            <w:tcW w:type="dxa" w:w="40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9. fejezet — Settings menü struktúra</w:t>
            </w:r>
          </w:p>
        </w:tc>
        <w:tc>
          <w:tcPr>
            <w:tcW w:type="dxa" w:w="2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✔ Kész</w:t>
            </w:r>
          </w:p>
        </w:tc>
      </w:tr>
      <w:tr>
        <w:tc>
          <w:tcPr>
            <w:tcW w:type="dxa" w:w="36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Consent naplózás</w:t>
            </w:r>
          </w:p>
        </w:tc>
        <w:tc>
          <w:tcPr>
            <w:tcW w:type="dxa" w:w="40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10. fejezet — Firestore séma</w:t>
            </w:r>
          </w:p>
        </w:tc>
        <w:tc>
          <w:tcPr>
            <w:tcW w:type="dxa" w:w="2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✔ Kész</w:t>
            </w:r>
          </w:p>
        </w:tc>
      </w:tr>
      <w:tr>
        <w:tc>
          <w:tcPr>
            <w:tcW w:type="dxa" w:w="36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Google UMP SDK (AdMob)</w:t>
            </w:r>
          </w:p>
        </w:tc>
        <w:tc>
          <w:tcPr>
            <w:tcW w:type="dxa" w:w="40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8.3 fejezet — implementációs megjegyzés</w:t>
            </w:r>
          </w:p>
        </w:tc>
        <w:tc>
          <w:tcPr>
            <w:tcW w:type="dxa" w:w="2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⚠ Implementálandó</w:t>
            </w:r>
          </w:p>
        </w:tc>
      </w:tr>
      <w:tr>
        <w:tc>
          <w:tcPr>
            <w:tcW w:type="dxa" w:w="36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FCM opt-in szöveg</w:t>
            </w:r>
          </w:p>
        </w:tc>
        <w:tc>
          <w:tcPr>
            <w:tcW w:type="dxa" w:w="40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7. fejezet — előre elkészítve</w:t>
            </w:r>
          </w:p>
        </w:tc>
        <w:tc>
          <w:tcPr>
            <w:tcW w:type="dxa" w:w="2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⏳ Jövőbeli</w:t>
            </w:r>
          </w:p>
        </w:tc>
      </w:tr>
      <w:tr>
        <w:tc>
          <w:tcPr>
            <w:tcW w:type="dxa" w:w="36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iOS HealthKit NSUsageDescription</w:t>
            </w:r>
          </w:p>
        </w:tc>
        <w:tc>
          <w:tcPr>
            <w:tcW w:type="dxa" w:w="40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/>
              <w:t>5.4 fejezet — jelenleg nem aktív az iOS launch előtt</w:t>
            </w:r>
          </w:p>
        </w:tc>
        <w:tc>
          <w:tcPr>
            <w:tcW w:type="dxa" w:w="2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7FB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⏳ iOS launch előtt</w:t>
            </w:r>
          </w:p>
        </w:tc>
      </w:tr>
    </w:tbl>
    <w:p>
      <w:pPr>
        <w:spacing w:after="160"/>
      </w:pPr>
      <w:r>
        <w:t xml:space="preserve"/>
      </w:r>
    </w:p>
    <w:p>
      <w:pPr>
        <w:shd w:fill="1B6B4A" w:val="clear"/>
        <w:spacing w:after="120" w:before="240"/>
        <w:ind w:left="120" w:right="12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12. Verziókezelés és felülvizsgálat</w:t>
      </w:r>
    </w:p>
    <w:p>
      <w:pPr>
        <w:spacing w:after="80"/>
      </w:pPr>
      <w: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00"/>
        <w:gridCol w:w="2000"/>
        <w:gridCol w:w="4238"/>
        <w:gridCol w:w="2000"/>
      </w:tblGrid>
      <w:tr>
        <w:tc>
          <w:tcPr>
            <w:tcW w:type="dxa" w:w="14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Verzió</w:t>
            </w:r>
          </w:p>
        </w:tc>
        <w:tc>
          <w:tcPr>
            <w:tcW w:type="dxa" w:w="2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Dátum</w:t>
            </w:r>
          </w:p>
        </w:tc>
        <w:tc>
          <w:tcPr>
            <w:tcW w:type="dxa" w:w="42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Változás</w:t>
            </w:r>
          </w:p>
        </w:tc>
        <w:tc>
          <w:tcPr>
            <w:tcW w:type="dxa" w:w="2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E8F5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Jóváhagyta</w:t>
            </w:r>
          </w:p>
        </w:tc>
      </w:tr>
      <w:tr>
        <w:tc>
          <w:tcPr>
            <w:tcW w:type="dxa" w:w="14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/>
              <w:t>v1.5</w:t>
            </w:r>
          </w:p>
        </w:tc>
        <w:tc>
          <w:tcPr>
            <w:tcW w:type="dxa" w:w="2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/>
              <w:t>2026. augusztus 1.</w:t>
            </w:r>
          </w:p>
        </w:tc>
        <w:tc>
          <w:tcPr>
            <w:tcW w:type="dxa" w:w="42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Kezdeti verzió</w:t>
            </w:r>
          </w:p>
        </w:tc>
        <w:tc>
          <w:tcPr>
            <w:tcW w:type="dxa" w:w="2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Dr. Crespo Zsuzsanna</w:t>
            </w:r>
          </w:p>
        </w:tc>
      </w:tr>
      <w:tr>
        <w:tc>
          <w:tcPr>
            <w:tcW w:type="dxa" w:w="14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/>
              <w:t>v1.7</w:t>
            </w:r>
          </w:p>
        </w:tc>
        <w:tc>
          <w:tcPr>
            <w:tcW w:type="dxa" w:w="2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/>
              <w:t>2026. augusztus 1.</w:t>
            </w:r>
          </w:p>
        </w:tc>
        <w:tc>
          <w:tcPr>
            <w:tcW w:type="dxa" w:w="42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Sybell székhely javítása (DPA-001); DPA-002 3.6 incidens-bejelentés szűkítése + nem korlátozható felelősségi kategóriák; DPA-003 felelősségkorlátozás (12 havi díj, min. 500.000 Ft); publikálási dátum frissítése</w:t>
            </w:r>
          </w:p>
        </w:tc>
        <w:tc>
          <w:tcPr>
            <w:tcW w:type="dxa" w:w="2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Dr. Crespo Zsuzsanna</w:t>
            </w:r>
          </w:p>
        </w:tc>
      </w:tr>
      <w:tr>
        <w:tc>
          <w:tcPr>
            <w:tcW w:type="dxa" w:w="14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/>
              <w:t>v1.8</w:t>
            </w:r>
          </w:p>
        </w:tc>
        <w:tc>
          <w:tcPr>
            <w:tcW w:type="dxa" w:w="2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/>
              <w:t>2026. augusztus 1.</w:t>
            </w:r>
          </w:p>
        </w:tc>
        <w:tc>
          <w:tcPr>
            <w:tcW w:type="dxa" w:w="4238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Zsuzsa jóváhagyása átvezetve (DPIA-001, LIA-001, PR-001 lektorálva; DPA-002 3.6 + felelősségi keret; DPA-003 felelősségkorlátozás). Aláírások folyamatban.</w:t>
            </w:r>
          </w:p>
        </w:tc>
        <w:tc>
          <w:tcPr>
            <w:tcW w:type="dxa" w:w="2000"/>
            <w:tcBorders>
              <w:top w:val="single" w:color="C8E6DA" w:sz="4"/>
              <w:left w:val="single" w:color="C8E6DA" w:sz="4"/>
              <w:bottom w:val="single" w:color="C8E6DA" w:sz="4"/>
              <w:right w:val="single" w:color="C8E6DA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60"/>
            </w:pPr>
            <w:r>
              <w:rPr>
                <w:rFonts w:ascii="Arial" w:cs="Arial" w:eastAsia="Arial" w:hAnsi="Arial"/>
                <w:color w:val="1A1A2E"/>
                <w:sz w:val="20"/>
                <w:szCs w:val="20"/>
              </w:rPr>
              <w:t xml:space="preserve">Dr. Crespo Zsuzsanna</w:t>
            </w:r>
          </w:p>
        </w:tc>
      </w:tr>
    </w:tbl>
    <w:p>
      <w:pPr>
        <w:spacing w:after="240"/>
      </w:pPr>
      <w:r>
        <w:t xml:space="preserve"/>
      </w:r>
    </w:p>
    <w:p>
      <w:pPr>
        <w:spacing w:after="80" w:before="200"/>
      </w:pPr>
      <w:r>
        <w:rPr>
          <w:rFonts w:ascii="Arial" w:cs="Arial" w:eastAsia="Arial" w:hAnsi="Arial"/>
          <w:b/>
          <w:bCs/>
          <w:color w:val="1B6B4A"/>
          <w:sz w:val="22"/>
          <w:szCs w:val="22"/>
        </w:rPr>
        <w:t xml:space="preserve">Aláírási blokk</w:t>
      </w:r>
    </w:p>
    <w:p>
      <w:pPr>
        <w:spacing w:after="80"/>
      </w:pPr>
      <w: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719"/>
        <w:gridCol w:w="200"/>
        <w:gridCol w:w="4719"/>
      </w:tblGrid>
      <w:tr>
        <w:tc>
          <w:tcPr>
            <w:tcW w:type="dxa" w:w="4719"/>
            <w:tcBorders>
              <w:top w:val="nil"/>
              <w:left w:val="nil"/>
              <w:bottom w:val="nil"/>
              <w:right w:val="nil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Adatkezelő</w:t>
            </w:r>
          </w:p>
          <w:p>
            <w:pPr>
              <w:spacing w:after="600"/>
            </w:pPr>
            <w:r>
              <w:t xml:space="preserve"/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20"/>
                <w:szCs w:val="20"/>
              </w:rPr>
              <w:t xml:space="preserve">....................................................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Mózer Ferenc</w:t>
            </w:r>
          </w:p>
          <w:p>
            <w:pPr>
              <w:jc w:val="center"/>
            </w:pPr>
            <w:r>
              <w:rPr/>
              <w:t>Dátum: 2026. augusztus 1.</w:t>
            </w:r>
          </w:p>
        </w:tc>
        <w:tc>
          <w:tcPr>
            <w:tcW w:type="dxa" w:w="200"/>
            <w:tcBorders>
              <w:top w:val="nil"/>
              <w:left w:val="nil"/>
              <w:bottom w:val="nil"/>
              <w:right w:val="nil"/>
            </w:tcBorders>
          </w:tcPr>
          <w:p>
            <w:r>
              <w:t xml:space="preserve"/>
            </w:r>
          </w:p>
        </w:tc>
        <w:tc>
          <w:tcPr>
            <w:tcW w:type="dxa" w:w="4719"/>
            <w:tcBorders>
              <w:top w:val="nil"/>
              <w:left w:val="nil"/>
              <w:bottom w:val="nil"/>
              <w:right w:val="nil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Készítette</w:t>
            </w:r>
          </w:p>
          <w:p>
            <w:pPr>
              <w:spacing w:after="600"/>
            </w:pPr>
            <w:r>
              <w:t xml:space="preserve"/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20"/>
                <w:szCs w:val="20"/>
              </w:rPr>
              <w:t xml:space="preserve">....................................................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Dr. Crespo Zsuzsanna</w:t>
            </w:r>
          </w:p>
          <w:p>
            <w:pPr>
              <w:jc w:val="center"/>
            </w:pPr>
            <w:r>
              <w:rPr/>
              <w:t>Dátum: 2026. augusztus 1.</w:t>
            </w:r>
          </w:p>
        </w:tc>
      </w:tr>
    </w:tbl>
    <w:p>
      <w:pPr>
        <w:spacing w:after="240"/>
      </w:pPr>
      <w:r>
        <w:t xml:space="preserve"/>
      </w:r>
    </w:p>
    <w:p>
      <w:pPr>
        <w:spacing w:after="100"/>
        <w:jc w:val="both"/>
      </w:pPr>
      <w:r>
        <w:t xml:space="preserve">Következő felülvizsgálat: </w:t>
      </w:r>
      <w:r>
        <w:rPr/>
        <w:t>2027. augusztus 1.</w:t>
      </w:r>
    </w:p>
    <w:p>
      <w:r>
        <w:rPr>
          <w:b/>
          <w:color w:val="0070C0"/>
        </w:rPr>
        <w:t>v1.5a kiegészítés — Health Connect engedélykérés:</w:t>
      </w:r>
    </w:p>
    <w:p>
      <w:r>
        <w:rPr>
          <w:color w:val="0070C0"/>
        </w:rPr>
        <w:t>A Health Connect / lépésszám hozzájárulás után az Android rendszerengedélyek között READ_STEPS, READ_HEALTH_DATA_HISTORY és ACTIVITY_RECOGNITION jelenhet meg. Ezek kizárólag lépésszámhoz és aggregált időszaki lépésszám-összesítésekhez kapcsolódnak; az app nem kér GPS-t, útvonalat, pulzust vagy edzéstípust.</w:t>
      </w:r>
    </w:p>
    <w:sectPr>
      <w:headerReference w:type="default" r:id="rId7"/>
      <w:footerReference w:type="default" r:id="rId8"/>
      <w:headerReference w:type="first" r:id="rId11"/>
      <w:footerReference w:type="first" r:id="rId12"/>
      <w:headerReference w:type="even" r:id="rId13"/>
      <w:footerReference w:type="even" r:id="rId14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8E6DA" w:sz="4" w:space="1"/>
      </w:pBdr>
      <w:tabs>
        <w:tab w:val="right" w:pos="9638"/>
      </w:tabs>
      <w:spacing w:before="80"/>
    </w:pPr>
    <w:r>
      <w:t>HJ-001 | v1.8 | Hatályos: 2026. augusztus 1. | Cashletics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1B6B4A" w:sz="8" w:space="1"/>
      </w:pBdr>
      <w:tabs>
        <w:tab w:val="center" w:pos="4819"/>
        <w:tab w:val="right" w:pos="9638"/>
      </w:tabs>
      <w:spacing w:after="80"/>
    </w:pPr>
    <w:r>
      <w:drawing>
        <wp:inline distT="0" distB="0" distL="0" distR="0">
          <wp:extent cx="1238250" cy="400050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400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cs="Arial" w:eastAsia="Arial" w:hAnsi="Arial"/>
      </w:rPr>
      <w:t xml:space="preserve">	</w:t>
    </w:r>
    <w:r>
      <w:rPr>
        <w:rFonts w:ascii="Arial" w:cs="Arial" w:eastAsia="Arial" w:hAnsi="Arial"/>
        <w:color w:val="1A1A2E"/>
        <w:sz w:val="20"/>
        <w:szCs w:val="20"/>
      </w:rPr>
      <w:t xml:space="preserve">In-app hozzájárulási szövegek és consent flow</w:t>
    </w:r>
    <w:r>
      <w:rPr>
        <w:rFonts w:ascii="Arial" w:cs="Arial" w:eastAsia="Arial" w:hAnsi="Arial"/>
      </w:rPr>
      <w:t xml:space="preserve">	</w:t>
    </w:r>
    <w:r>
      <w:rPr>
        <w:rFonts w:ascii="Arial" w:cs="Arial" w:eastAsia="Arial" w:hAnsi="Arial"/>
        <w:color w:val="666666"/>
        <w:sz w:val="20"/>
        <w:szCs w:val="20"/>
      </w:rPr>
      <w:t xml:space="preserve">HJ-001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A1A2E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70ab9e2edc4f05586ecf2e3db131623677b8242d.jpg"/><Relationship Id="rId10" Type="http://schemas.openxmlformats.org/officeDocument/2006/relationships/fontTable" Target="fontTable.xml"/><Relationship Id="rId11" Type="http://schemas.openxmlformats.org/officeDocument/2006/relationships/header" Target="header2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/Relationships>
</file>

<file path=word/_rels/header1.xml.rels><?xml version='1.0' encoding='UTF-8' standalone='yes'?>
<Relationships xmlns="http://schemas.openxmlformats.org/package/2006/relationships"><Relationship Id="rId0" Type="http://schemas.openxmlformats.org/officeDocument/2006/relationships/image" Target="media/70ab9e2edc4f05586ecf2e3db131623677b8242d.jp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2026-05-17T09:00:19.043Z</dcterms:created>
  <dcterms:modified xsi:type="dcterms:W3CDTF">2026-05-17T09:00:19.057Z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