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400"/>
      </w:pPr>
      <w:r>
        <w:drawing>
          <wp:inline distT="0" distB="0" distL="0" distR="0">
            <wp:extent cx="1238250" cy="4000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</w:pPr>
      <w:r>
        <w:rPr>
          <w:rFonts w:ascii="Arial" w:cs="Arial" w:eastAsia="Arial" w:hAnsi="Arial"/>
          <w:caps/>
          <w:color w:val="1B6B4A"/>
          <w:sz w:val="18"/>
          <w:szCs w:val="18"/>
        </w:rPr>
        <w:t xml:space="preserve">B blokk · Felhasználók felé, külön hozzájárulás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1A1A2E"/>
          <w:sz w:val="36"/>
          <w:szCs w:val="36"/>
        </w:rPr>
        <w:t xml:space="preserve">Banki értesítés hozzájárulás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Opcionális banki / wallet értesítés-olvasás tranzakciójavaslatok készítéséhez</w:t>
      </w:r>
    </w:p>
    <w:p>
      <w:pPr>
        <w:spacing w:after="400"/>
      </w:pPr>
      <w:r>
        <w:rPr>
          <w:rFonts w:ascii="Courier New" w:cs="Courier New" w:eastAsia="Courier New" w:hAnsi="Courier New"/>
          <w:color w:val="666666"/>
          <w:sz w:val="20"/>
          <w:szCs w:val="20"/>
        </w:rPr>
        <w:t xml:space="preserve">BH-001</w:t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800"/>
        <w:gridCol w:w="6838"/>
      </w:tblGrid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Adatkezelő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Mózer Ferenc egyéni vállalkozó
6044 Kecskemét, Hetény-Belsőnyír 268/2.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Hatálybalépés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2026. augusztus 1.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Készítette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 | zsuzsanna@crespo.hu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Verzió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v1.8</w:t>
            </w:r>
            <w:r>
              <w:t xml:space="preserve"> | 2026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GDPR jogalap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GDPR 6(1)(a) — hozzájárulás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Play Store policy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Play Financial Data policy kompatibilis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Kapcsolódó dok.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AT-001, ROPA-001, HJ-001, BH-001-EN</w:t>
            </w:r>
          </w:p>
        </w:tc>
      </w:tr>
    </w:tbl>
    <w:p>
      <w:pPr>
        <w:spacing w:after="0"/>
      </w:pPr>
      <w:r>
        <w:br w:type="pag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1. A funkció lényege — mit csinál pontosan az app?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D4A017" w:sz="8"/>
          <w:left w:val="single" w:color="D4A017" w:sz="8"/>
          <w:bottom w:val="single" w:color="D4A017" w:sz="8"/>
          <w:right w:val="single" w:color="D4A017" w:sz="8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D4A017" w:sz="8"/>
              <w:left w:val="single" w:color="D4A017" w:sz="8"/>
              <w:bottom w:val="single" w:color="D4A017" w:sz="8"/>
              <w:right w:val="single" w:color="D4A017" w:sz="8"/>
            </w:tcBorders>
            <w:shd w:fill="FEF6E4" w:val="clear"/>
            <w:tcMar>
              <w:top w:type="dxa" w:w="130"/>
              <w:left w:type="dxa" w:w="220"/>
              <w:bottom w:type="dxa" w:w="130"/>
              <w:right w:type="dxa" w:w="220"/>
            </w:tcMar>
          </w:tcPr>
          <w:p>
            <w:pPr>
              <w:spacing w:after="90"/>
            </w:pPr>
            <w:r>
              <w:rPr>
                <w:rFonts w:ascii="Arial" w:cs="Arial" w:eastAsia="Arial" w:hAnsi="Arial"/>
                <w:b/>
                <w:bCs/>
                <w:color w:val="D4A017"/>
                <w:sz w:val="22"/>
                <w:szCs w:val="22"/>
              </w:rPr>
              <w:t xml:space="preserve">⚠️ FONTOS — Mit olvas az app és mit NEM</w:t>
            </w:r>
          </w:p>
          <w:p>
            <w:pPr>
              <w:spacing w:after="36" w:before="36"/>
              <w:jc w:val="both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MIT OLVAS AZ APP:</w:t>
            </w:r>
          </w:p>
          <w:p>
            <w:pPr>
              <w:spacing w:after="36" w:before="36"/>
              <w:jc w:val="both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•  A banki / wallet push értesítés SZÖVEGÉT (pl. "OTP: vásárlás 4 990 Ft")</w:t>
            </w:r>
          </w:p>
          <w:p>
            <w:pPr>
              <w:spacing w:after="36" w:before="36"/>
              <w:jc w:val="both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36" w:before="36"/>
              <w:jc w:val="both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MIT NEM FÉR HOZZÁ AZ APP:</w:t>
            </w:r>
          </w:p>
          <w:p>
            <w:pPr>
              <w:spacing w:after="36" w:before="36"/>
              <w:jc w:val="both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•  Bankfiókhoz, internet-bankinghez</w:t>
            </w:r>
          </w:p>
          <w:p>
            <w:pPr>
              <w:spacing w:after="36" w:before="36"/>
              <w:jc w:val="both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•  Számlaszámhoz, IBAN-hoz</w:t>
            </w:r>
          </w:p>
          <w:p>
            <w:pPr>
              <w:spacing w:after="36" w:before="36"/>
              <w:jc w:val="both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•  Egyenleghez, történethez</w:t>
            </w:r>
          </w:p>
          <w:p>
            <w:pPr>
              <w:spacing w:after="36" w:before="36"/>
              <w:jc w:val="both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•  PIN kódhoz, jelszavakhoz</w:t>
            </w:r>
          </w:p>
          <w:p>
            <w:pPr>
              <w:spacing w:after="36" w:before="36"/>
              <w:jc w:val="both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•  Kártyaadatokhoz (szám, CVV, lejárat)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Cashletics kizárólag az Android értesítési rendszerén keresztül olvashatja a banki push értesítések szövegét. Az értesítés szövegéből megkísérli felismerni az összeget és a tranzakció típusát, majd továbbítja a felhasználónak jóváhagyásra.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2. Engedélyezhető értesítés-források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felhasználó maga választja ki, hogy melyik banki / fizetési alkalmazás értesítéseit engedi a Cashletics számára. Tipikus források: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400"/>
        <w:gridCol w:w="4038"/>
        <w:gridCol w:w="3200"/>
      </w:tblGrid>
      <w:tr>
        <w:trPr>
          <w:tblHeader/>
        </w:trP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Forrás típusa</w:t>
            </w:r>
          </w:p>
        </w:tc>
        <w:tc>
          <w:tcPr>
            <w:tcW w:type="dxa" w:w="4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Példák</w:t>
            </w:r>
          </w:p>
        </w:tc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Megjegyzés</w:t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Banki push értesítés</w:t>
            </w:r>
          </w:p>
        </w:tc>
        <w:tc>
          <w:tcPr>
            <w:tcW w:type="dxa" w:w="4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OTP Bank, K&amp;H, Erste, Raiffeisen, MBH</w:t>
            </w:r>
          </w:p>
        </w:tc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 bank saját alkalmazása küldi</w:t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Wallet értesítés</w:t>
            </w:r>
          </w:p>
        </w:tc>
        <w:tc>
          <w:tcPr>
            <w:tcW w:type="dxa" w:w="4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Pay, Apple Pay (ha iOS)</w:t>
            </w:r>
          </w:p>
        </w:tc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Fizetési wallet appok</w:t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Fintech értesítés</w:t>
            </w:r>
          </w:p>
        </w:tc>
        <w:tc>
          <w:tcPr>
            <w:tcW w:type="dxa" w:w="4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Revolut, Wise, N26</w:t>
            </w:r>
          </w:p>
        </w:tc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Neobank értesítések</w:t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Egyéb fizetési app</w:t>
            </w:r>
          </w:p>
        </w:tc>
        <w:tc>
          <w:tcPr>
            <w:tcW w:type="dxa" w:w="4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PayPal, Barion, SimplePay</w:t>
            </w:r>
          </w:p>
        </w:tc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Ha push értesítést küld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felhasználó az alkalmazáson belül (Beállítások &gt; Banki értesítések) bármikor módosíthatja, hogy melyik forrásokat engedi.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3. Az adatkezelés részletei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Kezelt adat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Értesítés szövege (push notification content)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Cél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Tranzakció összeg és kategória automatikus felismerése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Feldolgozás helye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Lokálisan a felhasználó eszközén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Az értesítés szövege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Feldolgozás után azonnal törölve — NEM kerül feltöltésre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Felismert összeg / kategória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 felhasználó jóváhagyásával feltöltődik a Firestore-ba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Jogalap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GDPR 6(1)(a) — hozzájárulás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Opcionális?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Igen — az alkalmazás teljes mértékben használható e nélkül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Visszavonható?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Igen — bármikor, visszaható erő nélkül (GDPR 7(3))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Megőrzési idő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Értesítés szövege: azonnal törölve | Felismert bejegyzés: fiók törléséig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Play Store policy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Play Financial Data policy kompatibilis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4. Adatfolyam lépései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1200"/>
        <w:gridCol w:w="4638"/>
        <w:gridCol w:w="3800"/>
      </w:tblGrid>
      <w:tr>
        <w:trPr>
          <w:tblHeader/>
        </w:trP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Lépés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Leírás</w:t>
            </w:r>
          </w:p>
        </w:tc>
        <w:tc>
          <w:tcPr>
            <w:tcW w:type="dxa" w:w="3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Adat sorsa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1. Értesítés érkezése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Bank push értesítést küld a telefon rendszerébe</w:t>
            </w:r>
          </w:p>
        </w:tc>
        <w:tc>
          <w:tcPr>
            <w:tcW w:type="dxa" w:w="3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Android értesítési rendszer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2. Szöveg beolvasása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Cashletics olvassa az értesítés szövegét (csak engedélyezett forrásokból)</w:t>
            </w:r>
          </w:p>
        </w:tc>
        <w:tc>
          <w:tcPr>
            <w:tcW w:type="dxa" w:w="3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Lokális feldolgozás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3. Adatfelismerés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Szövegből kiépíti az összeget és tranzakció-típust</w:t>
            </w:r>
          </w:p>
        </w:tc>
        <w:tc>
          <w:tcPr>
            <w:tcW w:type="dxa" w:w="3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Lokális feldolgozás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4. Szöveg törlése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Az értesítés eredeti szövege törlődik</w:t>
            </w:r>
          </w:p>
        </w:tc>
        <w:tc>
          <w:tcPr>
            <w:tcW w:type="dxa" w:w="3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NEM kerül feltöltésre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5. Jóváhagyás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 felismert bejegyzést a felhasználó átnézi, módosítja vagy törli</w:t>
            </w:r>
          </w:p>
        </w:tc>
        <w:tc>
          <w:tcPr>
            <w:tcW w:type="dxa" w:w="3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Felhasználó döntése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6. Mentés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Jóváhagyott bejegyzés feltöltődik</w:t>
            </w:r>
          </w:p>
        </w:tc>
        <w:tc>
          <w:tcPr>
            <w:tcW w:type="dxa" w:w="3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Cloud Firestore (EU-US DPF)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5. App-beli hozzájárulási szöveg (implementálandó)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alábbi szöveg kerül megjelenítésre, amikor a felhasználó első alkalommal be szeretné kapcsolni a banki értesítés-olvasás funkciót. Pontos UI-el rendezés: HJ-001, 3. lépés.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1B6B4A" w:sz="8"/>
          <w:left w:val="single" w:color="1B6B4A" w:sz="8"/>
          <w:bottom w:val="single" w:color="1B6B4A" w:sz="8"/>
          <w:right w:val="single" w:color="1B6B4A" w:sz="8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B6B4A" w:sz="8"/>
              <w:left w:val="single" w:color="1B6B4A" w:sz="8"/>
              <w:bottom w:val="single" w:color="1B6B4A" w:sz="8"/>
              <w:right w:val="single" w:color="1B6B4A" w:sz="8"/>
            </w:tcBorders>
            <w:shd w:fill="E8F5F0" w:val="clear"/>
            <w:tcMar>
              <w:top w:type="dxa" w:w="130"/>
              <w:left w:type="dxa" w:w="220"/>
              <w:bottom w:type="dxa" w:w="130"/>
              <w:right w:type="dxa" w:w="220"/>
            </w:tcMar>
          </w:tcPr>
          <w:p>
            <w:pPr>
              <w:spacing w:after="90"/>
            </w:pPr>
            <w:r>
              <w:rPr>
                <w:rFonts w:ascii="Arial" w:cs="Arial" w:eastAsia="Arial" w:hAnsi="Arial"/>
                <w:b/>
                <w:bCs/>
                <w:color w:val="1B6B4A"/>
                <w:sz w:val="22"/>
                <w:szCs w:val="22"/>
              </w:rPr>
              <w:t xml:space="preserve">HOZZÁJÁRULÁSI NYILATKOZAT — App-beli szöveg (implementálandó)</w:t>
            </w:r>
          </w:p>
          <w:p>
            <w:pPr>
              <w:spacing w:after="36" w:before="36"/>
              <w:jc w:val="both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 Cashletics opcionálisan segíthet a kiadásai nyilvántartásában azáltal, hogy banki push értesítések szövegéből felismeri a tranzakciókat.</w:t>
            </w:r>
          </w:p>
          <w:p>
            <w:pPr>
              <w:spacing w:after="36" w:before="36"/>
              <w:jc w:val="both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36" w:before="36"/>
              <w:jc w:val="both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Mit csinál az alkalmazás:</w:t>
            </w:r>
          </w:p>
          <w:p>
            <w:pPr>
              <w:spacing w:after="36" w:before="36"/>
              <w:jc w:val="both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•  Az értesítés szövegéből megkísérli kiolvasni az összeget és a tranzakció típusát</w:t>
            </w:r>
          </w:p>
          <w:p>
            <w:pPr>
              <w:spacing w:after="36" w:before="36"/>
              <w:jc w:val="both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•  A felismert tételt elébed tárja jóváhagyásra — te döntesz, hogy mentöd-e</w:t>
            </w:r>
          </w:p>
          <w:p>
            <w:pPr>
              <w:spacing w:after="36" w:before="36"/>
              <w:jc w:val="both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36" w:before="36"/>
              <w:jc w:val="both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Mit NEM csinál az alkalmazás:</w:t>
            </w:r>
          </w:p>
          <w:p>
            <w:pPr>
              <w:spacing w:after="36" w:before="36"/>
              <w:jc w:val="both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•  NEM fér hozzá bankfiókodhoz, egyenlegedhez, kártyaadataidhoz</w:t>
            </w:r>
          </w:p>
          <w:p>
            <w:pPr>
              <w:spacing w:after="36" w:before="36"/>
              <w:jc w:val="both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•  Az értesítés szövege feldolgozás után azonnal törlődik</w:t>
            </w:r>
          </w:p>
          <w:p>
            <w:pPr>
              <w:spacing w:after="36" w:before="36"/>
              <w:jc w:val="both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•  Adataidat NEM adjuk át harmadik félnek</w:t>
            </w:r>
          </w:p>
          <w:p>
            <w:pPr>
              <w:spacing w:after="36" w:before="36"/>
              <w:jc w:val="both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36" w:before="36"/>
              <w:jc w:val="both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Ez a funkció teljesen opcionális — az alkalmazás nélküle is teljes mértékben használható.</w:t>
            </w:r>
          </w:p>
          <w:p>
            <w:pPr>
              <w:spacing w:after="36" w:before="36"/>
              <w:jc w:val="both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Bármikor kikapcsolhatod: Beállítások &gt; Banki értesítések &gt; Kikapcsolás.</w:t>
            </w:r>
          </w:p>
          <w:p>
            <w:pPr>
              <w:spacing w:after="36" w:before="36"/>
              <w:jc w:val="both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36" w:before="36"/>
              <w:jc w:val="both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Részletes tájékoztató: Banki értesítés hozzájárulás (BH-001)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6. Technikai biztosítékok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rPr>
          <w:tblHeader/>
        </w:trP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Biztosíték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Megvalósítás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Szöveg nem kerül feltöltésre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Az értesítés nyers szövege csak lokálisan dolgozódik fel — szerver soha nem látja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Forrás-fehérlista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Csak a felhasználó által explicitén engedélyezett appok értesítései olvashatók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Jóváhagyási lépés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Minden felismert tétel a felhasználó jóváhagyását igényli mentés előtt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Szerkesztés és törlés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 felhasználó bármely felismert tételt módosíthat vagy törölhet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Android jogosultság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BIND_NOTIFICATION_LISTENER_SERVICE — csak az engedélyezett értesítésekhez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Titkosítás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 feltöltött adatok HTTPS/TLS-en kerülnek a Firestore-ba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7. Google Play Financial Data Policy kompatibilitás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Google Play Financial Data policy előírja, hogy az SMS-eket, értesítéseket vagy banki adatokat használó alkalmazások teljesen átláthatóan működjenek. A Cashletics megfelel ezeknek az előírásoknak: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3800"/>
        <w:gridCol w:w="5838"/>
      </w:tblGrid>
      <w:tr>
        <w:trPr>
          <w:tblHeader/>
        </w:trPr>
        <w:tc>
          <w:tcPr>
            <w:tcW w:type="dxa" w:w="3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Policy követelmény</w:t>
            </w:r>
          </w:p>
        </w:tc>
        <w:tc>
          <w:tcPr>
            <w:tcW w:type="dxa" w:w="5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Cashletics megfelelés</w:t>
            </w:r>
          </w:p>
        </w:tc>
      </w:tr>
      <w:tr>
        <w:tc>
          <w:tcPr>
            <w:tcW w:type="dxa" w:w="3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Világos célmeghatározás</w:t>
            </w:r>
          </w:p>
        </w:tc>
        <w:tc>
          <w:tcPr>
            <w:tcW w:type="dxa" w:w="5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BH-001 és az app-beli szöveg explicitén leírja a célt</w:t>
            </w:r>
          </w:p>
        </w:tc>
      </w:tr>
      <w:tr>
        <w:tc>
          <w:tcPr>
            <w:tcW w:type="dxa" w:w="3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Nem feljebb, mint szükséges</w:t>
            </w:r>
          </w:p>
        </w:tc>
        <w:tc>
          <w:tcPr>
            <w:tcW w:type="dxa" w:w="5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Csak értesítés szövege — bankadatokhoz nem fér hozzá</w:t>
            </w:r>
          </w:p>
        </w:tc>
      </w:tr>
      <w:tr>
        <w:tc>
          <w:tcPr>
            <w:tcW w:type="dxa" w:w="3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Feltűnő tájékoztatás</w:t>
            </w:r>
          </w:p>
        </w:tc>
        <w:tc>
          <w:tcPr>
            <w:tcW w:type="dxa" w:w="5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Hozzájárulás előtt teljes tájékoztató megjelenítése</w:t>
            </w:r>
          </w:p>
        </w:tc>
      </w:tr>
      <w:tr>
        <w:tc>
          <w:tcPr>
            <w:tcW w:type="dxa" w:w="3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Opt-in mechanizmus</w:t>
            </w:r>
          </w:p>
        </w:tc>
        <w:tc>
          <w:tcPr>
            <w:tcW w:type="dxa" w:w="5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Kizárólag explicit beállítással engedélyezhető</w:t>
            </w:r>
          </w:p>
        </w:tc>
      </w:tr>
      <w:tr>
        <w:tc>
          <w:tcPr>
            <w:tcW w:type="dxa" w:w="3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Opt-out lehetőség</w:t>
            </w:r>
          </w:p>
        </w:tc>
        <w:tc>
          <w:tcPr>
            <w:tcW w:type="dxa" w:w="5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Bármikor kikapcsolható Beállításokból</w:t>
            </w:r>
          </w:p>
        </w:tc>
      </w:tr>
      <w:tr>
        <w:tc>
          <w:tcPr>
            <w:tcW w:type="dxa" w:w="3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Adatminimalizálás</w:t>
            </w:r>
          </w:p>
        </w:tc>
        <w:tc>
          <w:tcPr>
            <w:tcW w:type="dxa" w:w="5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Szöveg feldolgozás után azonnal törölve</w:t>
            </w:r>
          </w:p>
        </w:tc>
      </w:tr>
      <w:tr>
        <w:tc>
          <w:tcPr>
            <w:tcW w:type="dxa" w:w="3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Harmadik félnek átadás</w:t>
            </w:r>
          </w:p>
        </w:tc>
        <w:tc>
          <w:tcPr>
            <w:tcW w:type="dxa" w:w="5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Nem — sem AdMob, sem más fél nem kap banki adatot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8. Érintetti jogok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800"/>
        <w:gridCol w:w="6838"/>
      </w:tblGrid>
      <w:tr>
        <w:trPr>
          <w:tblHeader/>
        </w:trP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Jog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Hogyan gyakorolható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Visszavonás (GDPR 7(3))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Beállítások &gt; Banki értesítések &gt; Kikapcsolás — azonnali hatállyal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Törlés (GDPR 17.)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Az értesítésből felismert bejegyzések az appból törölhetők, ill. privacy@cashleticsapp.com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Hozzáférés (GDPR 15.)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privacy@cashleticsapp.com — 30 napon belül tájékoztatás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Panasz (GDPR 77.)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NAIH: www.naih.hu | ugyfelszolgalat@naih.hu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visszavonás után az alkalmazás többé nem olvas banki értesítéseket. A már jóváhagyott és elmentett tranzakcióbejegyzések a fiókban maradnak (ezek a felhasználó által manuálisan hozzáadott adatnak minősülnek), de törölhetők.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9. Kapcsolat és adatkezelő azonosítása</w:t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C8E6DA" w:sz="4"/>
          <w:insideV w:val="single" w:color="auto" w:sz="4"/>
        </w:tblBorders>
      </w:tblPr>
      <w:tblGrid>
        <w:gridCol w:w="2800"/>
        <w:gridCol w:w="6838"/>
      </w:tblGrid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Adatkezelő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Mózer Ferenc (egyéni vállalkozó)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Székhely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6044 Kecskemét, Hetény-Belsőnyír 268/2.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Adószám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EF6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41905517-1-23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Adatvédelmi kapcsolat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privacy@cashleticsapp.com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Általános support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support@cashleticsapp.com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Telefon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+36 30 728 4422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Honlap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cashleticsapp.com/legal.php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Adatkezelési tájékoztató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cashleticsapp.com/legal.php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10. Kereszthivatkozás — szinkronizált dokumentumok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000"/>
        <w:gridCol w:w="2638"/>
        <w:gridCol w:w="5000"/>
      </w:tblGrid>
      <w:tr>
        <w:trPr>
          <w:tblHeader/>
        </w:trP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Dokumentum</w:t>
            </w:r>
          </w:p>
        </w:tc>
        <w:tc>
          <w:tcPr>
            <w:tcW w:type="dxa" w:w="2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Releváns fejezet</w:t>
            </w:r>
          </w:p>
        </w:tc>
        <w:tc>
          <w:tcPr>
            <w:tcW w:type="dxa" w:w="5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Szinkron elem</w:t>
            </w:r>
          </w:p>
        </w:tc>
      </w:tr>
      <w:t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AT-001</w:t>
            </w:r>
          </w:p>
        </w:tc>
        <w:tc>
          <w:tcPr>
            <w:tcW w:type="dxa" w:w="2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7. fejezet</w:t>
            </w:r>
          </w:p>
        </w:tc>
        <w:tc>
          <w:tcPr>
            <w:tcW w:type="dxa" w:w="5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Banki értesítés-olvasás adatkezelése</w:t>
            </w:r>
          </w:p>
        </w:tc>
      </w:tr>
      <w:t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AT-001-EN</w:t>
            </w:r>
          </w:p>
        </w:tc>
        <w:tc>
          <w:tcPr>
            <w:tcW w:type="dxa" w:w="2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Section 7</w:t>
            </w:r>
          </w:p>
        </w:tc>
        <w:tc>
          <w:tcPr>
            <w:tcW w:type="dxa" w:w="5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Banking notification processing (EN)</w:t>
            </w:r>
          </w:p>
        </w:tc>
      </w:tr>
      <w:t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ROPA-001</w:t>
            </w:r>
          </w:p>
        </w:tc>
        <w:tc>
          <w:tcPr>
            <w:tcW w:type="dxa" w:w="2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Banki értesítés sor</w:t>
            </w:r>
          </w:p>
        </w:tc>
        <w:tc>
          <w:tcPr>
            <w:tcW w:type="dxa" w:w="5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Jogalap, megőrzési idő, lokális feldolgozás</w:t>
            </w:r>
          </w:p>
        </w:tc>
      </w:tr>
      <w:t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HJ-001</w:t>
            </w:r>
          </w:p>
        </w:tc>
        <w:tc>
          <w:tcPr>
            <w:tcW w:type="dxa" w:w="2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Consent flow 3. lépés</w:t>
            </w:r>
          </w:p>
        </w:tc>
        <w:tc>
          <w:tcPr>
            <w:tcW w:type="dxa" w:w="5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App-beli szöveg és UI folyamat</w:t>
            </w:r>
          </w:p>
        </w:tc>
      </w:tr>
      <w:t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GPS-001</w:t>
            </w:r>
          </w:p>
        </w:tc>
        <w:tc>
          <w:tcPr>
            <w:tcW w:type="dxa" w:w="2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Financial info deklaráció</w:t>
            </w:r>
          </w:p>
        </w:tc>
        <w:tc>
          <w:tcPr>
            <w:tcW w:type="dxa" w:w="5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Play Console Data Safety form</w:t>
            </w:r>
          </w:p>
        </w:tc>
      </w:tr>
      <w:t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BH-001-EN</w:t>
            </w:r>
          </w:p>
        </w:tc>
        <w:tc>
          <w:tcPr>
            <w:tcW w:type="dxa" w:w="2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Teljes dokumentum</w:t>
            </w:r>
          </w:p>
        </w:tc>
        <w:tc>
          <w:tcPr>
            <w:tcW w:type="dxa" w:w="5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Angol tükörfordítás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Verziókezelés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1200"/>
        <w:gridCol w:w="1800"/>
        <w:gridCol w:w="4638"/>
        <w:gridCol w:w="2000"/>
      </w:tblGrid>
      <w:tr>
        <w:trPr>
          <w:tblHeader/>
        </w:trP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Verzió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Dátum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Változtatás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Jóváhagyta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v1.5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2026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Első kiadás — végleges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v1.7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2026. augusztus 1.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Sybell székhely javítása (DPA-001); DPA-002 3.6 incidens-bejelentés szűkítése + nem korlátozható felelősségi kategóriák; DPA-003 felelősségkorlátozás (12 havi díj, min. 500.000 Ft); publikálási dátum frissítése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v1.8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2026. augusztus 1.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Zsuzsa jóváhagyása átvezetve (DPIA-001, LIA-001, PR-001 lektorálva; DPA-002 3.6 + felelősségi keret; DPA-003 felelősségkorlátozás). Aláírások folyamatban.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</w:tbl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400"/>
        <w:gridCol w:w="2800"/>
        <w:gridCol w:w="2200"/>
        <w:gridCol w:w="2238"/>
      </w:tblGrid>
      <w:tr>
        <w:trPr>
          <w:tblHeader/>
        </w:trP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Szerep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Név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Dátum</w:t>
            </w:r>
          </w:p>
        </w:tc>
        <w:tc>
          <w:tcPr>
            <w:tcW w:type="dxa" w:w="2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Aláírás</w:t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Készítette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Átvevő / jóváhagyta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Mózer Ferenc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t xml:space="preserve">Következő felülvizsgálat: </w:t>
      </w:r>
      <w:r>
        <w:rPr/>
        <w:t>2027. augusztus 1.</w:t>
      </w:r>
    </w:p>
    <w:sectPr>
      <w:headerReference w:type="default" r:id="rId7"/>
      <w:footerReference w:type="default" r:id="rId8"/>
      <w:headerReference w:type="first" r:id="rId11"/>
      <w:footerReference w:type="first" r:id="rId12"/>
      <w:headerReference w:type="even" r:id="rId13"/>
      <w:footerReference w:type="even" r:id="rId14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8E6DA" w:sz="4" w:space="4"/>
      </w:pBdr>
      <w:tabs>
        <w:tab w:val="right" w:pos="9638"/>
      </w:tabs>
      <w:spacing w:before="80"/>
    </w:pPr>
    <w:r>
      <w:t>BH-001 | v1.8 | Hatályos: 2026. augusztus 1. | Cashletics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B6B4A" w:sz="8" w:space="4"/>
      </w:pBdr>
      <w:tabs>
        <w:tab w:val="center" w:pos="4819"/>
        <w:tab w:val="right" w:pos="9638"/>
      </w:tabs>
      <w:spacing w:after="80"/>
    </w:pPr>
    <w:r>
      <w:drawing>
        <wp:inline distT="0" distB="0" distL="0" distR="0">
          <wp:extent cx="1238250" cy="4000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cs="Arial" w:eastAsia="Arial" w:hAnsi="Arial"/>
        <w:color w:val="666666"/>
        <w:sz w:val="18"/>
        <w:szCs w:val="18"/>
      </w:rPr>
      <w:t xml:space="preserve">		Banki értesítés hozzájárulás	BH-001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5ea643938b6e759f2d65543122dc109b20ed843f.jpg"/><Relationship Id="rId10" Type="http://schemas.openxmlformats.org/officeDocument/2006/relationships/fontTable" Target="fontTable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_rels/header1.xml.rels><?xml version='1.0' encoding='UTF-8' standalone='yes'?>
<Relationships xmlns="http://schemas.openxmlformats.org/package/2006/relationships"><Relationship Id="rId0" Type="http://schemas.openxmlformats.org/officeDocument/2006/relationships/image" Target="media/5ea643938b6e759f2d65543122dc109b20ed843f.jp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2026-05-17T08:42:38.823Z</dcterms:created>
  <dcterms:modified xsi:type="dcterms:W3CDTF">2026-05-17T08:42:38.833Z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